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D1E6C" w14:textId="73006623" w:rsidR="00790393" w:rsidRDefault="005D6E45" w:rsidP="005D6E45">
      <w:pPr>
        <w:jc w:val="center"/>
      </w:pPr>
      <w:r>
        <w:t>Mindful Investigation for Awakening</w:t>
      </w:r>
    </w:p>
    <w:p w14:paraId="715B5395" w14:textId="57A27988" w:rsidR="005D6E45" w:rsidRDefault="005D6E45" w:rsidP="005D6E45">
      <w:pPr>
        <w:jc w:val="center"/>
      </w:pPr>
    </w:p>
    <w:p w14:paraId="7D576EF3" w14:textId="48DB8CA9" w:rsidR="00531F1D" w:rsidRDefault="005D6E45" w:rsidP="005D6E45">
      <w:pPr>
        <w:ind w:firstLine="360"/>
      </w:pPr>
      <w:r>
        <w:t xml:space="preserve">The second of the Seven Awakening Factors is </w:t>
      </w:r>
      <w:r w:rsidRPr="005D6E45">
        <w:rPr>
          <w:i/>
          <w:iCs/>
        </w:rPr>
        <w:t>dhamma vicaya</w:t>
      </w:r>
      <w:r>
        <w:t xml:space="preserve"> (dah-mah vih-chah-yah), typically translated as </w:t>
      </w:r>
      <w:r w:rsidRPr="005D6E45">
        <w:rPr>
          <w:i/>
          <w:iCs/>
        </w:rPr>
        <w:t>analysis of qualities</w:t>
      </w:r>
      <w:r>
        <w:t xml:space="preserve"> or </w:t>
      </w:r>
      <w:r w:rsidRPr="005D6E45">
        <w:rPr>
          <w:i/>
          <w:iCs/>
        </w:rPr>
        <w:t>discrimination of states</w:t>
      </w:r>
      <w:r>
        <w:t xml:space="preserve">; I prefer to use the term </w:t>
      </w:r>
      <w:r w:rsidRPr="005D6E45">
        <w:rPr>
          <w:i/>
          <w:iCs/>
        </w:rPr>
        <w:t>investigation of mental phenomena</w:t>
      </w:r>
      <w:r>
        <w:t xml:space="preserve">. </w:t>
      </w:r>
      <w:r w:rsidR="00531F1D">
        <w:t>Dhamma has multiple meanings as a Buddhist concept—in this term it refers to a moment of mental activity, and vicaya is understood to represent a discriminating and sorting process.  In the Satipatthana Sutta (sah-tee-pah-tah-nah soo-tah), mention is made of sorting through a bag filled with different items jumbled together:</w:t>
      </w:r>
    </w:p>
    <w:p w14:paraId="564EA706" w14:textId="0F4104CA" w:rsidR="00531F1D" w:rsidRDefault="00531F1D" w:rsidP="00531F1D"/>
    <w:p w14:paraId="4C6175D9" w14:textId="7088D1E7" w:rsidR="00531F1D" w:rsidRPr="00531F1D" w:rsidRDefault="00531F1D" w:rsidP="00531F1D">
      <w:pPr>
        <w:ind w:left="720" w:right="720"/>
        <w:rPr>
          <w:rFonts w:cstheme="minorHAnsi"/>
          <w:sz w:val="18"/>
          <w:szCs w:val="18"/>
        </w:rPr>
      </w:pPr>
      <w:bookmarkStart w:id="0" w:name="sack"/>
      <w:r>
        <w:rPr>
          <w:rFonts w:eastAsia="Times New Roman" w:cstheme="minorHAnsi"/>
          <w:sz w:val="20"/>
          <w:szCs w:val="20"/>
        </w:rPr>
        <w:t>“…</w:t>
      </w:r>
      <w:r w:rsidRPr="00531F1D">
        <w:rPr>
          <w:rFonts w:eastAsia="Times New Roman" w:cstheme="minorHAnsi"/>
          <w:sz w:val="20"/>
          <w:szCs w:val="20"/>
        </w:rPr>
        <w:t>just as</w:t>
      </w:r>
      <w:bookmarkEnd w:id="0"/>
      <w:r w:rsidRPr="00531F1D">
        <w:rPr>
          <w:rFonts w:eastAsia="Times New Roman" w:cstheme="minorHAnsi"/>
          <w:sz w:val="20"/>
          <w:szCs w:val="20"/>
        </w:rPr>
        <w:t xml:space="preserve"> if a sack with openings at both ends were full of various kinds of grain — wheat, rice, mung beans, kidney beans, sesame seeds, husked rice — and a man with good eyesight, pouring it out, were to reflect, 'This is wheat. This is rice. These are mung beans. These are kidney beans. These are sesame seeds. This is husked rice</w:t>
      </w:r>
      <w:r>
        <w:rPr>
          <w:rFonts w:eastAsia="Times New Roman" w:cstheme="minorHAnsi"/>
          <w:sz w:val="20"/>
          <w:szCs w:val="20"/>
        </w:rPr>
        <w:t>…” translated by Thanissaro</w:t>
      </w:r>
    </w:p>
    <w:p w14:paraId="68368960" w14:textId="77777777" w:rsidR="00531F1D" w:rsidRDefault="00531F1D" w:rsidP="00531F1D"/>
    <w:p w14:paraId="0F1D40BC" w14:textId="574295AC" w:rsidR="005D6E45" w:rsidRDefault="005D6E45" w:rsidP="00531F1D">
      <w:r>
        <w:t xml:space="preserve"> Supported by mindfulness, the function of dhamma vicaya is to be clearly aware of how the mind is making meaning/a self in response to a stimulation, either sensory or from another preceding thought.</w:t>
      </w:r>
      <w:r w:rsidR="006C6D01">
        <w:t xml:space="preserve">  Dhamma vicaya is closely associated with </w:t>
      </w:r>
      <w:r w:rsidR="006C6D01" w:rsidRPr="006C6D01">
        <w:rPr>
          <w:i/>
          <w:iCs/>
        </w:rPr>
        <w:t>yoniso manasikara</w:t>
      </w:r>
      <w:r w:rsidR="006C6D01">
        <w:t xml:space="preserve"> (yoh-nee-so mah-nah-see-kah-rah), </w:t>
      </w:r>
      <w:r w:rsidR="006C6D01" w:rsidRPr="006C6D01">
        <w:rPr>
          <w:i/>
          <w:iCs/>
        </w:rPr>
        <w:t>wise attention</w:t>
      </w:r>
      <w:r w:rsidR="006C6D01">
        <w:t>; the attention is wise in that discernment is strong and unhindered as to whether what is emerging in consciousness is supporting the process of Awakening.</w:t>
      </w:r>
    </w:p>
    <w:p w14:paraId="3074DC4D" w14:textId="0E343045" w:rsidR="00C337EF" w:rsidRDefault="00C337EF" w:rsidP="00531F1D"/>
    <w:p w14:paraId="032C86AF" w14:textId="519BB482" w:rsidR="00C337EF" w:rsidRDefault="00C337EF" w:rsidP="00C337EF">
      <w:pPr>
        <w:ind w:firstLine="360"/>
      </w:pPr>
      <w:r>
        <w:t xml:space="preserve">The effective application of dhamma vicaya manifests as </w:t>
      </w:r>
      <w:r w:rsidRPr="00C337EF">
        <w:rPr>
          <w:i/>
          <w:iCs/>
        </w:rPr>
        <w:t>samma ditthi</w:t>
      </w:r>
      <w:r>
        <w:t xml:space="preserve"> (sah-mah dee-tee), </w:t>
      </w:r>
      <w:r w:rsidRPr="00C337EF">
        <w:rPr>
          <w:i/>
          <w:iCs/>
        </w:rPr>
        <w:t>Right Understanding</w:t>
      </w:r>
      <w:r w:rsidRPr="00C337EF">
        <w:t xml:space="preserve"> or</w:t>
      </w:r>
      <w:r>
        <w:rPr>
          <w:i/>
          <w:iCs/>
        </w:rPr>
        <w:t xml:space="preserve"> Right View</w:t>
      </w:r>
      <w:r>
        <w:t xml:space="preserve">, one of the two components of the Wisdom Aggregate within the Noble Eightfold Path.  Samma ditthi is awareness of cause and effect, that is, in classical Buddhism, the law of karma and rebirth.  Contemporary secular Buddhism does not emphasize or even mention rebirth; instead, samma ditthi is related to how the formation of a self is adversely affected by desire, aversion and delusion, and this manifests as dukkha, distress and confusion.  The factors of Mindfulness, Investigation of </w:t>
      </w:r>
      <w:r w:rsidR="002F089C">
        <w:t>Mental Phenomena are instrumental in producing samma ditthi.</w:t>
      </w:r>
    </w:p>
    <w:p w14:paraId="32AD22A4" w14:textId="3716C445" w:rsidR="006C6D01" w:rsidRDefault="006C6D01" w:rsidP="005D6E45">
      <w:pPr>
        <w:ind w:firstLine="360"/>
      </w:pPr>
    </w:p>
    <w:p w14:paraId="7F746AF9" w14:textId="63917421" w:rsidR="006C6D01" w:rsidRDefault="006C6D01" w:rsidP="005D6E45">
      <w:pPr>
        <w:ind w:firstLine="360"/>
        <w:rPr>
          <w:rFonts w:eastAsia="Times New Roman" w:cstheme="minorHAnsi"/>
        </w:rPr>
      </w:pPr>
      <w:r>
        <w:t xml:space="preserve">The overall development of the Awakening Factors is supported by </w:t>
      </w:r>
      <w:r w:rsidR="00531F1D">
        <w:t>repeated phrases in several</w:t>
      </w:r>
      <w:r>
        <w:t xml:space="preserve"> sections of the Four Foundations of Mindfulness Discourse that are termed by Analayo as the “refrain”:  “</w:t>
      </w:r>
      <w:r w:rsidRPr="006C6D01">
        <w:rPr>
          <w:rFonts w:eastAsia="Times New Roman" w:cstheme="minorHAnsi"/>
        </w:rPr>
        <w:t>There is the case where a monk remains focused</w:t>
      </w:r>
      <w:r>
        <w:rPr>
          <w:rFonts w:eastAsia="Times New Roman" w:cstheme="minorHAnsi"/>
        </w:rPr>
        <w:t xml:space="preserve"> on</w:t>
      </w:r>
      <w:r w:rsidRPr="006C6D01">
        <w:rPr>
          <w:rFonts w:eastAsia="Times New Roman" w:cstheme="minorHAnsi"/>
        </w:rPr>
        <w:t xml:space="preserve"> </w:t>
      </w:r>
      <w:r>
        <w:rPr>
          <w:rFonts w:eastAsia="Times New Roman" w:cstheme="minorHAnsi"/>
        </w:rPr>
        <w:t>[the body, feelings, the mind, mental qualities]</w:t>
      </w:r>
      <w:r w:rsidRPr="006C6D01">
        <w:rPr>
          <w:rFonts w:eastAsia="Times New Roman" w:cstheme="minorHAnsi"/>
        </w:rPr>
        <w:t>— ardent, alert, &amp; mindful — putting aside greed &amp; distress with reference to the world.</w:t>
      </w:r>
      <w:r>
        <w:rPr>
          <w:rFonts w:eastAsia="Times New Roman" w:cstheme="minorHAnsi"/>
        </w:rPr>
        <w:t xml:space="preserve">”  The term </w:t>
      </w:r>
      <w:r w:rsidRPr="008A4C92">
        <w:rPr>
          <w:rFonts w:eastAsia="Times New Roman" w:cstheme="minorHAnsi"/>
          <w:i/>
          <w:iCs/>
        </w:rPr>
        <w:t>ardent</w:t>
      </w:r>
      <w:r>
        <w:rPr>
          <w:rFonts w:eastAsia="Times New Roman" w:cstheme="minorHAnsi"/>
        </w:rPr>
        <w:t xml:space="preserve"> is also often translated as </w:t>
      </w:r>
      <w:r w:rsidRPr="008A4C92">
        <w:rPr>
          <w:rFonts w:eastAsia="Times New Roman" w:cstheme="minorHAnsi"/>
          <w:i/>
          <w:iCs/>
        </w:rPr>
        <w:t>diligent</w:t>
      </w:r>
      <w:r>
        <w:rPr>
          <w:rFonts w:eastAsia="Times New Roman" w:cstheme="minorHAnsi"/>
        </w:rPr>
        <w:t xml:space="preserve">, and the word </w:t>
      </w:r>
      <w:r w:rsidRPr="008A4C92">
        <w:rPr>
          <w:rFonts w:eastAsia="Times New Roman" w:cstheme="minorHAnsi"/>
          <w:i/>
          <w:iCs/>
        </w:rPr>
        <w:t xml:space="preserve">alert </w:t>
      </w:r>
      <w:r>
        <w:rPr>
          <w:rFonts w:eastAsia="Times New Roman" w:cstheme="minorHAnsi"/>
        </w:rPr>
        <w:t xml:space="preserve">as </w:t>
      </w:r>
      <w:r w:rsidRPr="008A4C92">
        <w:rPr>
          <w:rFonts w:eastAsia="Times New Roman" w:cstheme="minorHAnsi"/>
          <w:i/>
          <w:iCs/>
        </w:rPr>
        <w:t>clearly knowing</w:t>
      </w:r>
      <w:r>
        <w:rPr>
          <w:rFonts w:eastAsia="Times New Roman" w:cstheme="minorHAnsi"/>
        </w:rPr>
        <w:t xml:space="preserve">; the actual phrase is </w:t>
      </w:r>
      <w:r w:rsidRPr="008A4C92">
        <w:rPr>
          <w:rFonts w:eastAsia="Times New Roman" w:cstheme="minorHAnsi"/>
          <w:i/>
          <w:iCs/>
        </w:rPr>
        <w:t>atapi satisampajanna</w:t>
      </w:r>
      <w:r>
        <w:rPr>
          <w:rFonts w:eastAsia="Times New Roman" w:cstheme="minorHAnsi"/>
        </w:rPr>
        <w:t xml:space="preserve"> (ah-t</w:t>
      </w:r>
      <w:r w:rsidR="008A4C92">
        <w:rPr>
          <w:rFonts w:eastAsia="Times New Roman" w:cstheme="minorHAnsi"/>
        </w:rPr>
        <w:t xml:space="preserve">ah-pee sah-tee-pah-jah-nyah).  </w:t>
      </w:r>
      <w:r w:rsidR="008A4C92" w:rsidRPr="008A4C92">
        <w:rPr>
          <w:rFonts w:eastAsia="Times New Roman" w:cstheme="minorHAnsi"/>
          <w:i/>
          <w:iCs/>
        </w:rPr>
        <w:t xml:space="preserve">Satisampajanna </w:t>
      </w:r>
      <w:r w:rsidR="008A4C92">
        <w:rPr>
          <w:rFonts w:eastAsia="Times New Roman" w:cstheme="minorHAnsi"/>
        </w:rPr>
        <w:t xml:space="preserve">is also understood as </w:t>
      </w:r>
      <w:r w:rsidR="008A4C92" w:rsidRPr="008A4C92">
        <w:rPr>
          <w:rFonts w:eastAsia="Times New Roman" w:cstheme="minorHAnsi"/>
          <w:i/>
          <w:iCs/>
        </w:rPr>
        <w:t>clear comprehension</w:t>
      </w:r>
      <w:r w:rsidR="008A4C92">
        <w:rPr>
          <w:rFonts w:eastAsia="Times New Roman" w:cstheme="minorHAnsi"/>
        </w:rPr>
        <w:t>, and this comes very close to being synonymous with dhamma vicaya.</w:t>
      </w:r>
    </w:p>
    <w:p w14:paraId="2E2F9DCA" w14:textId="73C52D04" w:rsidR="008A4C92" w:rsidRDefault="008A4C92" w:rsidP="005D6E45">
      <w:pPr>
        <w:ind w:firstLine="360"/>
        <w:rPr>
          <w:rFonts w:eastAsia="Times New Roman" w:cstheme="minorHAnsi"/>
        </w:rPr>
      </w:pPr>
    </w:p>
    <w:p w14:paraId="2D0292D4" w14:textId="04DA4EB8" w:rsidR="0062783C" w:rsidRDefault="008A4C92" w:rsidP="0062783C">
      <w:pPr>
        <w:ind w:firstLine="360"/>
        <w:rPr>
          <w:rFonts w:eastAsia="Times New Roman" w:cstheme="minorHAnsi"/>
        </w:rPr>
      </w:pPr>
      <w:r>
        <w:rPr>
          <w:rFonts w:eastAsia="Times New Roman" w:cstheme="minorHAnsi"/>
        </w:rPr>
        <w:t xml:space="preserve">The other part of the refrain, “putting aside greed and distress with reference to the world”, describes the results of dhamma vicaya in </w:t>
      </w:r>
      <w:r w:rsidR="00531F1D">
        <w:rPr>
          <w:rFonts w:eastAsia="Times New Roman" w:cstheme="minorHAnsi"/>
        </w:rPr>
        <w:t>its</w:t>
      </w:r>
      <w:r>
        <w:rPr>
          <w:rFonts w:eastAsia="Times New Roman" w:cstheme="minorHAnsi"/>
        </w:rPr>
        <w:t xml:space="preserve"> developmental function; combined with mindfulness and another Awakening factor, </w:t>
      </w:r>
      <w:r w:rsidRPr="00531F1D">
        <w:rPr>
          <w:rFonts w:eastAsia="Times New Roman" w:cstheme="minorHAnsi"/>
          <w:i/>
          <w:iCs/>
        </w:rPr>
        <w:t>viriya</w:t>
      </w:r>
      <w:r>
        <w:rPr>
          <w:rFonts w:eastAsia="Times New Roman" w:cstheme="minorHAnsi"/>
        </w:rPr>
        <w:t xml:space="preserve"> (vihr-yah), that is</w:t>
      </w:r>
      <w:r w:rsidRPr="00531F1D">
        <w:rPr>
          <w:rFonts w:eastAsia="Times New Roman" w:cstheme="minorHAnsi"/>
          <w:i/>
          <w:iCs/>
        </w:rPr>
        <w:t>, energy/Right Effort/persistence</w:t>
      </w:r>
      <w:r>
        <w:rPr>
          <w:rFonts w:eastAsia="Times New Roman" w:cstheme="minorHAnsi"/>
        </w:rPr>
        <w:t xml:space="preserve">, sets aside the effects of the five hindrances.  </w:t>
      </w:r>
      <w:r w:rsidR="00531F1D">
        <w:rPr>
          <w:rFonts w:eastAsia="Times New Roman" w:cstheme="minorHAnsi"/>
        </w:rPr>
        <w:t xml:space="preserve">This Awakening Factor is the topic for next week’s talk.  </w:t>
      </w:r>
      <w:r>
        <w:rPr>
          <w:rFonts w:eastAsia="Times New Roman" w:cstheme="minorHAnsi"/>
        </w:rPr>
        <w:t>As this becomes more predominant in the process of self-organization, the energy that is bound up in the hindrances is freed up and the Seven Awakening Factors become more fully functional in their operations.</w:t>
      </w:r>
    </w:p>
    <w:p w14:paraId="18FDA81A" w14:textId="5626A51E" w:rsidR="002D505D" w:rsidRDefault="002D505D" w:rsidP="005D6E45">
      <w:pPr>
        <w:ind w:firstLine="360"/>
        <w:rPr>
          <w:rFonts w:eastAsia="Times New Roman" w:cstheme="minorHAnsi"/>
        </w:rPr>
      </w:pPr>
    </w:p>
    <w:p w14:paraId="28C2411D" w14:textId="7516E564" w:rsidR="005A302E" w:rsidRDefault="005A302E" w:rsidP="005A302E">
      <w:pPr>
        <w:ind w:firstLine="360"/>
        <w:rPr>
          <w:rFonts w:eastAsia="Times New Roman" w:cstheme="minorHAnsi"/>
        </w:rPr>
      </w:pPr>
      <w:r>
        <w:rPr>
          <w:rFonts w:eastAsia="Times New Roman" w:cstheme="minorHAnsi"/>
        </w:rPr>
        <w:t xml:space="preserve">This ability to investigate how the mind shapes a transient process of “selfing” begins with the very first time we practice </w:t>
      </w:r>
      <w:r w:rsidR="000A0841">
        <w:rPr>
          <w:rFonts w:eastAsia="Times New Roman" w:cstheme="minorHAnsi"/>
        </w:rPr>
        <w:t>anapanasati (ah-nah-pah-nah-sah-tee), mindfulness of breathing meditation.  When I first learned this practice I was instructed to “Aim attention at the beginning of the inbreath and sustain this awareness for the duration of the inbreath, then repeat this aiming and sustaining practice for the outbreath”.  Intentionally bringing attention to a focus is vitakka (vwee-tah-kah; yes, the first syllable sounds like the way it’s written phonetically) in Pali, and not allowing attention to waver in that focusing is vicara (vwee-chah-rah).  This accomplishes two capabilities:  Consciously deciding to focus attention and setting aside the vulnerability of the mind to be easily distracted.  Typically, the mind is drawn to a focus by craving, either for pleasant experience to dominate and continue, or for unpleasant experience to be avoided or eliminated</w:t>
      </w:r>
      <w:r w:rsidR="007B5E29">
        <w:rPr>
          <w:rFonts w:eastAsia="Times New Roman" w:cstheme="minorHAnsi"/>
        </w:rPr>
        <w:t>, and this happens due to clinging to the thoughts that spin off from craving being identified with as “This is who I am and this is how the world is”.  T</w:t>
      </w:r>
      <w:r w:rsidR="000A0841">
        <w:rPr>
          <w:rFonts w:eastAsia="Times New Roman" w:cstheme="minorHAnsi"/>
        </w:rPr>
        <w:t>he sensation of breathing is neither pleasant or unpleasant, so we must mindfully, actively decide to focus attention on the breath without craving whatever other stimuli might come to awareness</w:t>
      </w:r>
      <w:r w:rsidR="007B5E29">
        <w:rPr>
          <w:rFonts w:eastAsia="Times New Roman" w:cstheme="minorHAnsi"/>
        </w:rPr>
        <w:t>—easier said than done, however!</w:t>
      </w:r>
    </w:p>
    <w:p w14:paraId="1F050F9D" w14:textId="2034C052" w:rsidR="007B5E29" w:rsidRDefault="007B5E29" w:rsidP="005A302E">
      <w:pPr>
        <w:ind w:firstLine="360"/>
        <w:rPr>
          <w:rFonts w:eastAsia="Times New Roman" w:cstheme="minorHAnsi"/>
        </w:rPr>
      </w:pPr>
    </w:p>
    <w:p w14:paraId="22C2CBCE" w14:textId="0526A638" w:rsidR="007B5E29" w:rsidRDefault="007B5E29" w:rsidP="005A302E">
      <w:pPr>
        <w:ind w:firstLine="360"/>
        <w:rPr>
          <w:rFonts w:eastAsia="Times New Roman" w:cstheme="minorHAnsi"/>
        </w:rPr>
      </w:pPr>
      <w:r>
        <w:rPr>
          <w:rFonts w:eastAsia="Times New Roman" w:cstheme="minorHAnsi"/>
        </w:rPr>
        <w:lastRenderedPageBreak/>
        <w:t>With repeated practice, the vitakka/vicara process becomes more unified and more easily sustained, particularly as we become more adept at noting distractions before craving and clinging take over and just return attention to the breath or the neutral feeling of samadhi/passadhi (sah-mah-dee/pass-uh-dee), the state of stable attention/tranquil mind</w:t>
      </w:r>
      <w:r w:rsidR="0062783C">
        <w:rPr>
          <w:rFonts w:eastAsia="Times New Roman" w:cstheme="minorHAnsi"/>
        </w:rPr>
        <w:t xml:space="preserve">.  This unified process matures into dhamma vicaya and </w:t>
      </w:r>
      <w:r w:rsidR="002F089C">
        <w:rPr>
          <w:rFonts w:eastAsia="Times New Roman" w:cstheme="minorHAnsi"/>
        </w:rPr>
        <w:t xml:space="preserve">provides the internal process most conducive of vipassana, which brings anicca, dukkha and anatta into more clarity, realizing Right View </w:t>
      </w:r>
      <w:r>
        <w:rPr>
          <w:rFonts w:eastAsia="Times New Roman" w:cstheme="minorHAnsi"/>
        </w:rPr>
        <w:t>(if you want to explore this further, google “contingent provisional emergence” and read the notes I prepared for previous talks over the years)</w:t>
      </w:r>
      <w:r w:rsidR="002F089C">
        <w:rPr>
          <w:rFonts w:eastAsia="Times New Roman" w:cstheme="minorHAnsi"/>
        </w:rPr>
        <w:t xml:space="preserve">. </w:t>
      </w:r>
    </w:p>
    <w:p w14:paraId="36C367FE" w14:textId="01795737" w:rsidR="0062783C" w:rsidRDefault="0062783C" w:rsidP="005A302E">
      <w:pPr>
        <w:ind w:firstLine="360"/>
        <w:rPr>
          <w:rFonts w:eastAsia="Times New Roman" w:cstheme="minorHAnsi"/>
        </w:rPr>
      </w:pPr>
    </w:p>
    <w:p w14:paraId="27138796" w14:textId="1D790931" w:rsidR="0062783C" w:rsidRDefault="0062783C" w:rsidP="005A302E">
      <w:pPr>
        <w:ind w:firstLine="360"/>
        <w:rPr>
          <w:rFonts w:eastAsia="Times New Roman" w:cstheme="minorHAnsi"/>
        </w:rPr>
      </w:pPr>
      <w:r>
        <w:rPr>
          <w:rFonts w:eastAsia="Times New Roman" w:cstheme="minorHAnsi"/>
        </w:rPr>
        <w:t>The mature operation of dhamma vicaya applies to all of the Four Foundations.  For example, in one excerpt from Mindfulness of the Body:</w:t>
      </w:r>
    </w:p>
    <w:p w14:paraId="548B292B" w14:textId="60AA021C" w:rsidR="0062783C" w:rsidRPr="0062783C" w:rsidRDefault="0062783C" w:rsidP="0062783C">
      <w:pPr>
        <w:spacing w:before="100" w:beforeAutospacing="1" w:after="100" w:afterAutospacing="1"/>
        <w:ind w:left="720" w:right="720"/>
        <w:rPr>
          <w:rFonts w:eastAsia="Times New Roman" w:cstheme="minorHAnsi"/>
          <w:sz w:val="20"/>
          <w:szCs w:val="20"/>
        </w:rPr>
      </w:pPr>
      <w:r w:rsidRPr="0062783C">
        <w:rPr>
          <w:rFonts w:eastAsia="Times New Roman" w:cstheme="minorHAnsi"/>
          <w:sz w:val="18"/>
          <w:szCs w:val="18"/>
        </w:rPr>
        <w:t xml:space="preserve"> </w:t>
      </w:r>
      <w:r w:rsidRPr="0062783C">
        <w:rPr>
          <w:rFonts w:eastAsia="Times New Roman" w:cstheme="minorHAnsi"/>
          <w:sz w:val="20"/>
          <w:szCs w:val="20"/>
        </w:rPr>
        <w:t>"In this way he remains focused internally on the body in &amp; of itself, or externally on the body in &amp; of itself, or both internally &amp; externally on the body in &amp; of itself. Or he remains focused on the phenomenon of origination with regard to the body, on the phenomenon of passing away with regard to the body, or on the phenomenon of origination &amp; passing away with regard to the body. Or his mindfulness that 'There is a body' is maintained to the extent of knowledge &amp; remembrance. And he remains independent, unsustained by (not clinging to) anything in the world. This is how a monk remains focused on the body in &amp; of itself.</w:t>
      </w:r>
      <w:r>
        <w:rPr>
          <w:rFonts w:eastAsia="Times New Roman" w:cstheme="minorHAnsi"/>
          <w:sz w:val="20"/>
          <w:szCs w:val="20"/>
        </w:rPr>
        <w:t>”  Translated by Thanissaro</w:t>
      </w:r>
    </w:p>
    <w:p w14:paraId="05DD9C10" w14:textId="04EB3282" w:rsidR="0062783C" w:rsidRDefault="0062783C" w:rsidP="0062783C">
      <w:pPr>
        <w:rPr>
          <w:rFonts w:eastAsia="Times New Roman" w:cstheme="minorHAnsi"/>
        </w:rPr>
      </w:pPr>
      <w:r>
        <w:rPr>
          <w:rFonts w:eastAsia="Times New Roman" w:cstheme="minorHAnsi"/>
        </w:rPr>
        <w:t>The term “he remains focused…</w:t>
      </w:r>
      <w:r w:rsidR="00E4609E">
        <w:rPr>
          <w:rFonts w:eastAsia="Times New Roman" w:cstheme="minorHAnsi"/>
        </w:rPr>
        <w:t>on the origination…of passing away</w:t>
      </w:r>
      <w:r>
        <w:rPr>
          <w:rFonts w:eastAsia="Times New Roman" w:cstheme="minorHAnsi"/>
        </w:rPr>
        <w:t>” and</w:t>
      </w:r>
      <w:r w:rsidR="00E4609E">
        <w:rPr>
          <w:rFonts w:eastAsia="Times New Roman" w:cstheme="minorHAnsi"/>
        </w:rPr>
        <w:t xml:space="preserve"> r</w:t>
      </w:r>
      <w:r>
        <w:rPr>
          <w:rFonts w:eastAsia="Times New Roman" w:cstheme="minorHAnsi"/>
        </w:rPr>
        <w:t>equires mindfulness and investigation to function.  Other examples abound throughout the discourse:  “</w:t>
      </w:r>
      <w:r w:rsidR="00E4609E">
        <w:rPr>
          <w:rFonts w:eastAsia="Times New Roman" w:cstheme="minorHAnsi"/>
        </w:rPr>
        <w:t>…discerns ‘I am feeling a painful feeling…”, “…discerns a mind with passion…”, and so on.  These insights all depend upon dhamma vicaya.</w:t>
      </w:r>
    </w:p>
    <w:p w14:paraId="4DFD4538" w14:textId="77777777" w:rsidR="00E4609E" w:rsidRDefault="00E4609E" w:rsidP="0062783C">
      <w:pPr>
        <w:rPr>
          <w:rFonts w:eastAsia="Times New Roman" w:cstheme="minorHAnsi"/>
        </w:rPr>
      </w:pPr>
    </w:p>
    <w:p w14:paraId="74C1F644" w14:textId="4F048AA1" w:rsidR="0062783C" w:rsidRDefault="0062783C" w:rsidP="0062783C">
      <w:pPr>
        <w:ind w:firstLine="360"/>
        <w:rPr>
          <w:rFonts w:eastAsia="Times New Roman" w:cstheme="minorHAnsi"/>
        </w:rPr>
      </w:pPr>
      <w:r>
        <w:rPr>
          <w:rFonts w:eastAsia="Times New Roman" w:cstheme="minorHAnsi"/>
        </w:rPr>
        <w:t>Gil Fronsdal, in a posting entitled “Investigation”, from a talk in 2002 describes dhamma vicaya in ways compatible with my understanding</w:t>
      </w:r>
      <w:r w:rsidR="00E4609E">
        <w:rPr>
          <w:rFonts w:eastAsia="Times New Roman" w:cstheme="minorHAnsi"/>
        </w:rPr>
        <w:t>:</w:t>
      </w:r>
    </w:p>
    <w:p w14:paraId="501173A2" w14:textId="77777777" w:rsidR="0062783C" w:rsidRDefault="0062783C" w:rsidP="0062783C">
      <w:pPr>
        <w:rPr>
          <w:rFonts w:eastAsia="Times New Roman" w:cstheme="minorHAnsi"/>
        </w:rPr>
      </w:pPr>
    </w:p>
    <w:p w14:paraId="488DDB1A" w14:textId="77777777" w:rsidR="0062783C" w:rsidRDefault="0062783C" w:rsidP="0062783C">
      <w:pPr>
        <w:ind w:left="720" w:right="720"/>
        <w:rPr>
          <w:rFonts w:eastAsia="Times New Roman" w:cstheme="minorHAnsi"/>
          <w:sz w:val="20"/>
          <w:szCs w:val="20"/>
        </w:rPr>
      </w:pPr>
      <w:r>
        <w:rPr>
          <w:rFonts w:eastAsia="Times New Roman" w:cstheme="minorHAnsi"/>
          <w:sz w:val="20"/>
          <w:szCs w:val="20"/>
        </w:rPr>
        <w:t>“</w:t>
      </w:r>
      <w:r w:rsidRPr="0078258D">
        <w:rPr>
          <w:rFonts w:eastAsia="Times New Roman" w:cstheme="minorHAnsi"/>
          <w:sz w:val="20"/>
          <w:szCs w:val="20"/>
        </w:rPr>
        <w:t>For example, I recently went through a bout of discouragement. So I investigated the feeling of discouragement in my body-the tightness, heaviness, contraction and darkness. My thoughts were rapid; my mind felt tight and sticky. Investigation helped me to see the stickiness and attachment. The investigation itself was very accepting. I wasn’t trying to get rid of the feeling; I was just interested in discovering what my experience was. As I practiced, the investigation became stronger, which changed the balance within my mind. I came to appreciate the investigation itself, which in turn brought in a little more lightness and ease. The stickiness of my thoughts started to dissolve-it was hard to remain fixated on them after seeing their ephemeral nature. Since my discouragement was grounded in the stories I was telling myself, as my obsession with the thoughts eased, the discouragement faded</w:t>
      </w:r>
      <w:r>
        <w:rPr>
          <w:rFonts w:eastAsia="Times New Roman" w:cstheme="minorHAnsi"/>
          <w:sz w:val="20"/>
          <w:szCs w:val="20"/>
        </w:rPr>
        <w:t>”</w:t>
      </w:r>
    </w:p>
    <w:p w14:paraId="051B58B4" w14:textId="77777777" w:rsidR="0062783C" w:rsidRDefault="0062783C" w:rsidP="0062783C">
      <w:pPr>
        <w:rPr>
          <w:rFonts w:eastAsia="Times New Roman" w:cstheme="minorHAnsi"/>
        </w:rPr>
      </w:pPr>
    </w:p>
    <w:p w14:paraId="53C62D3A" w14:textId="65D34DB2" w:rsidR="0062783C" w:rsidRDefault="00E4609E" w:rsidP="00E4609E">
      <w:pPr>
        <w:ind w:firstLine="360"/>
        <w:rPr>
          <w:rFonts w:eastAsia="Times New Roman" w:cstheme="minorHAnsi"/>
        </w:rPr>
      </w:pPr>
      <w:r>
        <w:rPr>
          <w:rFonts w:eastAsia="Times New Roman" w:cstheme="minorHAnsi"/>
        </w:rPr>
        <w:t xml:space="preserve">Dhamma vicaya is based on mindfulness of the body, specifically mindfulness of breathing, as a primary “refuge” that is not loaded down with craving and clinging.  The ability to look more closely at the details, the texture and duration of each in- and out-breath trains attention to be alert and investigative.  This capability can also be applied to other phenomena in the mind that are more problematic—thoughts and expectations are loaded with craving and clinging potential and it is easy to get caught up in identifying with those potentiated flows of subjective experience as self-defining and determinative of behavior.  The challenge is to train the mind to be very agile and </w:t>
      </w:r>
      <w:r w:rsidR="005E5975">
        <w:rPr>
          <w:rFonts w:eastAsia="Times New Roman" w:cstheme="minorHAnsi"/>
        </w:rPr>
        <w:t>detailed in investigating what is emerging in awareness and deconstruct the elements of that moment of being into the categories described in Mindfulness of the Five Aggregates With Clinging (see the posting on May 27, 2020 for more information).  This deconstruction is accomplished through mindful awareness of the Three Characteristics mentioned above.</w:t>
      </w:r>
    </w:p>
    <w:p w14:paraId="113CF5FC" w14:textId="6AB57B9E" w:rsidR="007B5E29" w:rsidRDefault="007B5E29" w:rsidP="005A302E">
      <w:pPr>
        <w:ind w:firstLine="360"/>
        <w:rPr>
          <w:rFonts w:eastAsia="Times New Roman" w:cstheme="minorHAnsi"/>
        </w:rPr>
      </w:pPr>
    </w:p>
    <w:p w14:paraId="4F5449A5" w14:textId="77777777" w:rsidR="007B5E29" w:rsidRPr="005A302E" w:rsidRDefault="007B5E29" w:rsidP="005A302E">
      <w:pPr>
        <w:ind w:firstLine="360"/>
        <w:rPr>
          <w:rFonts w:cstheme="minorHAnsi"/>
        </w:rPr>
      </w:pPr>
    </w:p>
    <w:sectPr w:rsidR="007B5E29" w:rsidRPr="005A302E" w:rsidSect="005D6E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45"/>
    <w:rsid w:val="000A0841"/>
    <w:rsid w:val="002D505D"/>
    <w:rsid w:val="002F089C"/>
    <w:rsid w:val="00531F1D"/>
    <w:rsid w:val="005A302E"/>
    <w:rsid w:val="005D6E45"/>
    <w:rsid w:val="005E5975"/>
    <w:rsid w:val="0062783C"/>
    <w:rsid w:val="006C6D01"/>
    <w:rsid w:val="0078258D"/>
    <w:rsid w:val="00790393"/>
    <w:rsid w:val="007B5E29"/>
    <w:rsid w:val="008A4C92"/>
    <w:rsid w:val="00A72E3A"/>
    <w:rsid w:val="00C337EF"/>
    <w:rsid w:val="00E4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E99C"/>
  <w15:chartTrackingRefBased/>
  <w15:docId w15:val="{08C42DF5-ECBB-4865-8209-AA4412D5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1524</TotalTime>
  <Pages>2</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2020-06-14T20:42:00Z</dcterms:created>
  <dcterms:modified xsi:type="dcterms:W3CDTF">2020-06-17T15:51:00Z</dcterms:modified>
</cp:coreProperties>
</file>