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6F4F8" w14:textId="169B4351" w:rsidR="00790393" w:rsidRDefault="007E1146" w:rsidP="007E1146">
      <w:pPr>
        <w:jc w:val="center"/>
      </w:pPr>
      <w:r>
        <w:t>Salayatana, The Six Sense Bases</w:t>
      </w:r>
    </w:p>
    <w:p w14:paraId="5D72402F" w14:textId="0315290A" w:rsidR="007E1146" w:rsidRDefault="007E1146" w:rsidP="007E1146">
      <w:pPr>
        <w:jc w:val="center"/>
      </w:pPr>
    </w:p>
    <w:p w14:paraId="66A1ACAE" w14:textId="3FA99B2C" w:rsidR="007E1146" w:rsidRDefault="007E1146" w:rsidP="007E1146">
      <w:pPr>
        <w:ind w:firstLine="360"/>
      </w:pPr>
      <w:r>
        <w:t>There are five subcategories for contemplation in the Fourth Foundation of Mindfulness.  The first three focus on the hindrances, the five aggregates and the six sense bases</w:t>
      </w:r>
      <w:r w:rsidR="00FC4FB7">
        <w:t>.  The talks on the hindrances were posted on April 29, May 6 and 13; the five aggregates will be the topic for the next talk</w:t>
      </w:r>
      <w:r>
        <w:t>.  The</w:t>
      </w:r>
      <w:r w:rsidR="00FC4FB7">
        <w:t xml:space="preserve">se </w:t>
      </w:r>
      <w:r w:rsidR="00FC4FB7">
        <w:t>function</w:t>
      </w:r>
      <w:r w:rsidR="00FC4FB7">
        <w:t xml:space="preserve"> of these three contemplations</w:t>
      </w:r>
      <w:r>
        <w:t xml:space="preserve"> is to deconstruct the sense of an enduring and autonomous self; the remaining two are the seven awakening factors and the four noble truths.  </w:t>
      </w:r>
      <w:r w:rsidR="00EB09A6">
        <w:t xml:space="preserve">The awakening factors are increasingly skillful ways of observing the three characteristics of impermanence, dissatisfaction and non-self, and the four noble truths are revisited, being transformed </w:t>
      </w:r>
      <w:r w:rsidR="00FC4FB7">
        <w:t xml:space="preserve">through the perfection of the awakening factors </w:t>
      </w:r>
      <w:r w:rsidR="00EB09A6">
        <w:t>from conceptual knowledge to direct experiential awareness</w:t>
      </w:r>
      <w:r w:rsidR="00FC4FB7">
        <w:t xml:space="preserve">, leading </w:t>
      </w:r>
      <w:r w:rsidR="00EB09A6">
        <w:t>ultimately to the experience of nirvana.</w:t>
      </w:r>
    </w:p>
    <w:p w14:paraId="05835B6E" w14:textId="77777777" w:rsidR="007E1146" w:rsidRDefault="007E1146" w:rsidP="007E1146">
      <w:pPr>
        <w:ind w:firstLine="360"/>
      </w:pPr>
    </w:p>
    <w:p w14:paraId="7F05E0BC" w14:textId="2AF88D40" w:rsidR="00EB09A6" w:rsidRDefault="007E1146" w:rsidP="007E1146">
      <w:pPr>
        <w:ind w:firstLine="360"/>
      </w:pPr>
      <w:r>
        <w:t xml:space="preserve">The focus for this review is the concept of </w:t>
      </w:r>
      <w:r w:rsidR="00FC4FB7">
        <w:t xml:space="preserve">the six sense bases, </w:t>
      </w:r>
      <w:r w:rsidRPr="007E1146">
        <w:rPr>
          <w:i/>
          <w:iCs/>
        </w:rPr>
        <w:t>salayatana</w:t>
      </w:r>
      <w:r>
        <w:t xml:space="preserve"> (sah-luh-yah-tuh-nah): the </w:t>
      </w:r>
      <w:r w:rsidRPr="007E1146">
        <w:rPr>
          <w:i/>
          <w:iCs/>
        </w:rPr>
        <w:t xml:space="preserve">eyes </w:t>
      </w:r>
      <w:r>
        <w:rPr>
          <w:i/>
          <w:iCs/>
        </w:rPr>
        <w:t xml:space="preserve">with </w:t>
      </w:r>
      <w:r w:rsidRPr="007E1146">
        <w:rPr>
          <w:i/>
          <w:iCs/>
        </w:rPr>
        <w:t>seeing</w:t>
      </w:r>
      <w:r>
        <w:t xml:space="preserve">, </w:t>
      </w:r>
      <w:r w:rsidRPr="007E1146">
        <w:rPr>
          <w:i/>
          <w:iCs/>
        </w:rPr>
        <w:t xml:space="preserve">ears </w:t>
      </w:r>
      <w:r>
        <w:rPr>
          <w:i/>
          <w:iCs/>
        </w:rPr>
        <w:t>with</w:t>
      </w:r>
      <w:r w:rsidRPr="007E1146">
        <w:rPr>
          <w:i/>
          <w:iCs/>
        </w:rPr>
        <w:t xml:space="preserve"> hearing, nose </w:t>
      </w:r>
      <w:r>
        <w:rPr>
          <w:i/>
          <w:iCs/>
        </w:rPr>
        <w:t>with</w:t>
      </w:r>
      <w:r w:rsidRPr="007E1146">
        <w:rPr>
          <w:i/>
          <w:iCs/>
        </w:rPr>
        <w:t xml:space="preserve"> smelling, tongue </w:t>
      </w:r>
      <w:r>
        <w:rPr>
          <w:i/>
          <w:iCs/>
        </w:rPr>
        <w:t>with</w:t>
      </w:r>
      <w:r w:rsidRPr="007E1146">
        <w:rPr>
          <w:i/>
          <w:iCs/>
        </w:rPr>
        <w:t xml:space="preserve"> tasting, the body </w:t>
      </w:r>
      <w:r>
        <w:rPr>
          <w:i/>
          <w:iCs/>
        </w:rPr>
        <w:t>with</w:t>
      </w:r>
      <w:r w:rsidRPr="007E1146">
        <w:rPr>
          <w:i/>
          <w:iCs/>
        </w:rPr>
        <w:t xml:space="preserve"> visceral sensations and the mind </w:t>
      </w:r>
      <w:r>
        <w:rPr>
          <w:i/>
          <w:iCs/>
        </w:rPr>
        <w:t>with</w:t>
      </w:r>
      <w:r w:rsidRPr="007E1146">
        <w:rPr>
          <w:i/>
          <w:iCs/>
        </w:rPr>
        <w:t xml:space="preserve"> cognition</w:t>
      </w:r>
      <w:r>
        <w:t xml:space="preserve">.  Each of them individually is an </w:t>
      </w:r>
      <w:r w:rsidRPr="007E1146">
        <w:rPr>
          <w:i/>
          <w:iCs/>
        </w:rPr>
        <w:t>ayatana</w:t>
      </w:r>
      <w:r>
        <w:t xml:space="preserve">; the prefix </w:t>
      </w:r>
      <w:r w:rsidRPr="007E1146">
        <w:rPr>
          <w:i/>
          <w:iCs/>
        </w:rPr>
        <w:t>sal</w:t>
      </w:r>
      <w:r>
        <w:t xml:space="preserve"> signifies there are six of them.</w:t>
      </w:r>
      <w:r w:rsidR="00724AFE">
        <w:t xml:space="preserve"> </w:t>
      </w:r>
      <w:r w:rsidR="00FC4FB7">
        <w:t xml:space="preserve"> Contemplation of the sixth sense base is a key element in the process of Awakening, and being diligent, mindful and clearly knowing how the cognitive processes of the mind create a self is the core of the practice of mindfulness of breathing and the four foundations of mindfulness.</w:t>
      </w:r>
      <w:r w:rsidR="00C84A45">
        <w:t xml:space="preserve">  </w:t>
      </w:r>
      <w:r w:rsidR="00EB09A6">
        <w:t xml:space="preserve">Here is the relevant excerpt from the Satipatthana Sutta that contemplates salayatana (Note that the translator, Thanissaro, terms them as the </w:t>
      </w:r>
      <w:r w:rsidR="00EB09A6" w:rsidRPr="00EB09A6">
        <w:rPr>
          <w:i/>
          <w:iCs/>
        </w:rPr>
        <w:t>six sense media</w:t>
      </w:r>
      <w:r w:rsidR="00EB09A6">
        <w:t>):</w:t>
      </w:r>
    </w:p>
    <w:p w14:paraId="643D7287" w14:textId="77777777" w:rsidR="00EB09A6" w:rsidRPr="00EB09A6" w:rsidRDefault="00EB09A6" w:rsidP="00EB09A6">
      <w:pPr>
        <w:spacing w:before="100" w:beforeAutospacing="1" w:after="100" w:afterAutospacing="1"/>
        <w:ind w:left="720" w:right="720"/>
        <w:rPr>
          <w:rFonts w:eastAsia="Times New Roman" w:cstheme="minorHAnsi"/>
          <w:sz w:val="20"/>
          <w:szCs w:val="20"/>
        </w:rPr>
      </w:pPr>
      <w:r w:rsidRPr="00EB09A6">
        <w:rPr>
          <w:rFonts w:eastAsia="Times New Roman" w:cstheme="minorHAnsi"/>
          <w:sz w:val="20"/>
          <w:szCs w:val="20"/>
        </w:rPr>
        <w:t xml:space="preserve">"Furthermore, the monk remains focused on mental qualities in &amp; of themselves with reference to the </w:t>
      </w:r>
      <w:r w:rsidRPr="00EB09A6">
        <w:rPr>
          <w:rFonts w:eastAsia="Times New Roman" w:cstheme="minorHAnsi"/>
          <w:i/>
          <w:iCs/>
          <w:sz w:val="20"/>
          <w:szCs w:val="20"/>
        </w:rPr>
        <w:t>sixfold internal &amp; external sense media.</w:t>
      </w:r>
      <w:r w:rsidRPr="00EB09A6">
        <w:rPr>
          <w:rFonts w:eastAsia="Times New Roman" w:cstheme="minorHAnsi"/>
          <w:sz w:val="20"/>
          <w:szCs w:val="20"/>
        </w:rPr>
        <w:t xml:space="preserve"> And how does he remain focused on mental qualities in &amp; of themselves with reference to the sixfold internal &amp; external sense media? There is the case where he discerns the eye, he discerns forms, he discerns the fetter that arises dependent on both. He discerns how there is the arising of an unarisen fetter. And he discerns how there is the abandoning of a fetter once it has arisen. And he discerns how there is no future arising of a fetter that has been abandoned. (The same formula is repeated for the remaining sense media: ear, nose, tongue, body, &amp; intellect.)</w:t>
      </w:r>
    </w:p>
    <w:p w14:paraId="245FA266" w14:textId="128A83B4" w:rsidR="00EB09A6" w:rsidRDefault="00EB09A6" w:rsidP="00EB09A6">
      <w:pPr>
        <w:spacing w:before="100" w:beforeAutospacing="1" w:after="100" w:afterAutospacing="1"/>
        <w:ind w:left="720" w:right="720"/>
        <w:rPr>
          <w:rFonts w:eastAsia="Times New Roman" w:cstheme="minorHAnsi"/>
          <w:sz w:val="20"/>
          <w:szCs w:val="20"/>
        </w:rPr>
      </w:pPr>
      <w:r w:rsidRPr="00EB09A6">
        <w:rPr>
          <w:rFonts w:eastAsia="Times New Roman" w:cstheme="minorHAnsi"/>
          <w:sz w:val="20"/>
          <w:szCs w:val="20"/>
        </w:rPr>
        <w:t>"In this way he remains focused internally on the mental qualities in &amp; of themselves, or focused externally... unsustained by anything in the world. This is how a monk remains focused on mental qualities in &amp; of themselves with reference to the sixfold internal &amp; external sense media.</w:t>
      </w:r>
    </w:p>
    <w:p w14:paraId="66EB5194" w14:textId="0AE59341" w:rsidR="00EB09A6" w:rsidRPr="00EB09A6" w:rsidRDefault="00C84A45" w:rsidP="00EB09A6">
      <w:pPr>
        <w:spacing w:before="100" w:beforeAutospacing="1" w:after="100" w:afterAutospacing="1"/>
        <w:ind w:firstLine="360"/>
        <w:rPr>
          <w:rFonts w:eastAsia="Times New Roman" w:cstheme="minorHAnsi"/>
        </w:rPr>
      </w:pPr>
      <w:r>
        <w:t xml:space="preserve">This process of directly investigating the transition is called </w:t>
      </w:r>
      <w:r w:rsidRPr="00C84A45">
        <w:rPr>
          <w:i/>
          <w:iCs/>
        </w:rPr>
        <w:t>guarding the sense doors</w:t>
      </w:r>
      <w:r>
        <w:rPr>
          <w:rFonts w:eastAsia="Times New Roman" w:cstheme="minorHAnsi"/>
        </w:rPr>
        <w:t xml:space="preserve">.  </w:t>
      </w:r>
      <w:r w:rsidR="00EB09A6">
        <w:rPr>
          <w:rFonts w:eastAsia="Times New Roman" w:cstheme="minorHAnsi"/>
        </w:rPr>
        <w:t>This stanza describes the process</w:t>
      </w:r>
      <w:r>
        <w:rPr>
          <w:rFonts w:eastAsia="Times New Roman" w:cstheme="minorHAnsi"/>
        </w:rPr>
        <w:t xml:space="preserve"> of alert and clearly knowing observation occurring</w:t>
      </w:r>
      <w:r w:rsidR="00EB09A6">
        <w:rPr>
          <w:rFonts w:eastAsia="Times New Roman" w:cstheme="minorHAnsi"/>
        </w:rPr>
        <w:t xml:space="preserve"> </w:t>
      </w:r>
      <w:r w:rsidR="00EB09A6" w:rsidRPr="00BE4502">
        <w:rPr>
          <w:rFonts w:eastAsia="Times New Roman" w:cstheme="minorHAnsi"/>
          <w:i/>
          <w:iCs/>
        </w:rPr>
        <w:t>both internally and externally</w:t>
      </w:r>
      <w:r w:rsidR="00EB09A6">
        <w:rPr>
          <w:rFonts w:eastAsia="Times New Roman" w:cstheme="minorHAnsi"/>
        </w:rPr>
        <w:t xml:space="preserve">, which frames the process as interactional, that is, the sense base is irrelevant until there is some external stimulus; the exception is in regard to the mind and cognition (he term this as intellect), as cognition is inherently internally manifested.  The significance in this case points to how humans typically regard thoughts as self-identifying, whereas Buddhist teachings </w:t>
      </w:r>
      <w:r w:rsidR="00BE4502">
        <w:rPr>
          <w:rFonts w:eastAsia="Times New Roman" w:cstheme="minorHAnsi"/>
        </w:rPr>
        <w:t>emphasize that cognitions are not self-identifying inherently, but are misunderstood as self through greed, hatred and ignorance, the “three poisons” of Buddhist psychology.</w:t>
      </w:r>
    </w:p>
    <w:p w14:paraId="70FF793D" w14:textId="244ED817" w:rsidR="00EB09A6" w:rsidRDefault="00BE4502" w:rsidP="00BE4502">
      <w:pPr>
        <w:ind w:firstLine="360"/>
      </w:pPr>
      <w:r>
        <w:t xml:space="preserve">This misunderstanding </w:t>
      </w:r>
      <w:r w:rsidR="00341E78">
        <w:t xml:space="preserve">that produces distress and confusion </w:t>
      </w:r>
      <w:r>
        <w:t xml:space="preserve">is the consequence of </w:t>
      </w:r>
      <w:r w:rsidRPr="00BE4502">
        <w:rPr>
          <w:i/>
          <w:iCs/>
        </w:rPr>
        <w:t>samyojana</w:t>
      </w:r>
      <w:r>
        <w:t xml:space="preserve"> (sahm-yo-jah-nah), the </w:t>
      </w:r>
      <w:r w:rsidRPr="00BE4502">
        <w:rPr>
          <w:i/>
          <w:iCs/>
        </w:rPr>
        <w:t>fetter</w:t>
      </w:r>
      <w:r w:rsidR="00C84A45">
        <w:rPr>
          <w:i/>
          <w:iCs/>
        </w:rPr>
        <w:t>s</w:t>
      </w:r>
      <w:r>
        <w:t xml:space="preserve"> referred to in the above quote.  Here </w:t>
      </w:r>
      <w:r w:rsidR="00341E78">
        <w:t>is</w:t>
      </w:r>
      <w:r>
        <w:t xml:space="preserve"> what Wikipedia reports regarding samyojana:</w:t>
      </w:r>
    </w:p>
    <w:p w14:paraId="302676D6" w14:textId="1E8C7671" w:rsidR="00D906E4" w:rsidRPr="00D906E4" w:rsidRDefault="00D906E4" w:rsidP="00341E78">
      <w:pPr>
        <w:spacing w:before="100" w:beforeAutospacing="1" w:after="100" w:afterAutospacing="1"/>
        <w:ind w:left="720" w:right="720"/>
        <w:rPr>
          <w:rFonts w:eastAsia="Times New Roman" w:cstheme="minorHAnsi"/>
          <w:sz w:val="20"/>
          <w:szCs w:val="20"/>
        </w:rPr>
      </w:pPr>
      <w:r w:rsidRPr="00D906E4">
        <w:rPr>
          <w:rFonts w:eastAsia="Times New Roman" w:cstheme="minorHAnsi"/>
          <w:sz w:val="20"/>
          <w:szCs w:val="20"/>
        </w:rPr>
        <w:t>The Pali canon's Sutta Pitaka identifies ten "fetters of becoming":</w:t>
      </w:r>
    </w:p>
    <w:p w14:paraId="4EA9B619" w14:textId="16882A81"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 xml:space="preserve">belief in a self (Pali: </w:t>
      </w:r>
      <w:r w:rsidRPr="00D906E4">
        <w:rPr>
          <w:rFonts w:eastAsia="Times New Roman" w:cstheme="minorHAnsi"/>
          <w:i/>
          <w:iCs/>
          <w:sz w:val="20"/>
          <w:szCs w:val="20"/>
          <w:lang/>
        </w:rPr>
        <w:t>sakkāya-diṭṭhi</w:t>
      </w:r>
      <w:r w:rsidRPr="00D906E4">
        <w:rPr>
          <w:rFonts w:eastAsia="Times New Roman" w:cstheme="minorHAnsi"/>
          <w:sz w:val="20"/>
          <w:szCs w:val="20"/>
        </w:rPr>
        <w:t>)</w:t>
      </w:r>
      <w:r w:rsidR="00341E78" w:rsidRPr="00D906E4">
        <w:rPr>
          <w:rFonts w:eastAsia="Times New Roman" w:cstheme="minorHAnsi"/>
          <w:sz w:val="20"/>
          <w:szCs w:val="20"/>
        </w:rPr>
        <w:t xml:space="preserve"> </w:t>
      </w:r>
    </w:p>
    <w:p w14:paraId="5FBBCC6D" w14:textId="43B84A36"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doubt or uncertainty, especially about the Buddha's awakeness and nine supermundane consciousnesses (</w:t>
      </w:r>
      <w:hyperlink r:id="rId5" w:tooltip="Vicikicchā" w:history="1">
        <w:r w:rsidRPr="00D906E4">
          <w:rPr>
            <w:rFonts w:eastAsia="Times New Roman" w:cstheme="minorHAnsi"/>
            <w:i/>
            <w:iCs/>
            <w:sz w:val="20"/>
            <w:szCs w:val="20"/>
          </w:rPr>
          <w:t>vicikicchā</w:t>
        </w:r>
      </w:hyperlink>
      <w:r w:rsidRPr="00D906E4">
        <w:rPr>
          <w:rFonts w:eastAsia="Times New Roman" w:cstheme="minorHAnsi"/>
          <w:sz w:val="20"/>
          <w:szCs w:val="20"/>
        </w:rPr>
        <w:t>)</w:t>
      </w:r>
      <w:r w:rsidR="00341E78" w:rsidRPr="00341E78">
        <w:rPr>
          <w:rFonts w:eastAsia="Times New Roman" w:cstheme="minorHAnsi"/>
          <w:sz w:val="20"/>
          <w:szCs w:val="20"/>
        </w:rPr>
        <w:t xml:space="preserve"> </w:t>
      </w:r>
    </w:p>
    <w:p w14:paraId="429E484A" w14:textId="7C475E7C"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attachment to rites and rituals (</w:t>
      </w:r>
      <w:r w:rsidRPr="00D906E4">
        <w:rPr>
          <w:rFonts w:eastAsia="Times New Roman" w:cstheme="minorHAnsi"/>
          <w:i/>
          <w:iCs/>
          <w:sz w:val="20"/>
          <w:szCs w:val="20"/>
        </w:rPr>
        <w:t>sīlabbata-parāmāsa</w:t>
      </w:r>
      <w:r w:rsidRPr="00D906E4">
        <w:rPr>
          <w:rFonts w:eastAsia="Times New Roman" w:cstheme="minorHAnsi"/>
          <w:sz w:val="20"/>
          <w:szCs w:val="20"/>
        </w:rPr>
        <w:t>)</w:t>
      </w:r>
      <w:r w:rsidR="00341E78" w:rsidRPr="00D906E4">
        <w:rPr>
          <w:rFonts w:eastAsia="Times New Roman" w:cstheme="minorHAnsi"/>
          <w:sz w:val="20"/>
          <w:szCs w:val="20"/>
        </w:rPr>
        <w:t xml:space="preserve"> </w:t>
      </w:r>
    </w:p>
    <w:p w14:paraId="4D481ECA" w14:textId="09D4D22E"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sensual desire (</w:t>
      </w:r>
      <w:r w:rsidRPr="00D906E4">
        <w:rPr>
          <w:rFonts w:eastAsia="Times New Roman" w:cstheme="minorHAnsi"/>
          <w:i/>
          <w:iCs/>
          <w:sz w:val="20"/>
          <w:szCs w:val="20"/>
        </w:rPr>
        <w:t>kāmacchando</w:t>
      </w:r>
      <w:r w:rsidRPr="00D906E4">
        <w:rPr>
          <w:rFonts w:eastAsia="Times New Roman" w:cstheme="minorHAnsi"/>
          <w:sz w:val="20"/>
          <w:szCs w:val="20"/>
        </w:rPr>
        <w:t>)</w:t>
      </w:r>
      <w:r w:rsidR="00341E78" w:rsidRPr="00D906E4">
        <w:rPr>
          <w:rFonts w:eastAsia="Times New Roman" w:cstheme="minorHAnsi"/>
          <w:sz w:val="20"/>
          <w:szCs w:val="20"/>
        </w:rPr>
        <w:t xml:space="preserve"> </w:t>
      </w:r>
    </w:p>
    <w:p w14:paraId="62D21867" w14:textId="5DB74AB0"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ill will (</w:t>
      </w:r>
      <w:r w:rsidRPr="00D906E4">
        <w:rPr>
          <w:rFonts w:eastAsia="Times New Roman" w:cstheme="minorHAnsi"/>
          <w:i/>
          <w:iCs/>
          <w:sz w:val="20"/>
          <w:szCs w:val="20"/>
        </w:rPr>
        <w:t>vyāpādo</w:t>
      </w:r>
      <w:r w:rsidRPr="00D906E4">
        <w:rPr>
          <w:rFonts w:eastAsia="Times New Roman" w:cstheme="minorHAnsi"/>
          <w:sz w:val="20"/>
          <w:szCs w:val="20"/>
        </w:rPr>
        <w:t xml:space="preserve"> or </w:t>
      </w:r>
      <w:r w:rsidRPr="00D906E4">
        <w:rPr>
          <w:rFonts w:eastAsia="Times New Roman" w:cstheme="minorHAnsi"/>
          <w:i/>
          <w:iCs/>
          <w:sz w:val="20"/>
          <w:szCs w:val="20"/>
        </w:rPr>
        <w:t>byāpādo</w:t>
      </w:r>
      <w:r w:rsidRPr="00D906E4">
        <w:rPr>
          <w:rFonts w:eastAsia="Times New Roman" w:cstheme="minorHAnsi"/>
          <w:sz w:val="20"/>
          <w:szCs w:val="20"/>
        </w:rPr>
        <w:t>)</w:t>
      </w:r>
      <w:r w:rsidR="00341E78" w:rsidRPr="00D906E4">
        <w:rPr>
          <w:rFonts w:eastAsia="Times New Roman" w:cstheme="minorHAnsi"/>
          <w:sz w:val="20"/>
          <w:szCs w:val="20"/>
        </w:rPr>
        <w:t xml:space="preserve"> </w:t>
      </w:r>
    </w:p>
    <w:p w14:paraId="30FF0C46" w14:textId="68F5413F"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lust for material existence, lust for material rebirth (</w:t>
      </w:r>
      <w:r w:rsidRPr="00D906E4">
        <w:rPr>
          <w:rFonts w:eastAsia="Times New Roman" w:cstheme="minorHAnsi"/>
          <w:i/>
          <w:iCs/>
          <w:sz w:val="20"/>
          <w:szCs w:val="20"/>
        </w:rPr>
        <w:t>rūparāgo</w:t>
      </w:r>
      <w:r w:rsidRPr="00D906E4">
        <w:rPr>
          <w:rFonts w:eastAsia="Times New Roman" w:cstheme="minorHAnsi"/>
          <w:sz w:val="20"/>
          <w:szCs w:val="20"/>
        </w:rPr>
        <w:t>)</w:t>
      </w:r>
      <w:r w:rsidR="00341E78" w:rsidRPr="00D906E4">
        <w:rPr>
          <w:rFonts w:eastAsia="Times New Roman" w:cstheme="minorHAnsi"/>
          <w:sz w:val="20"/>
          <w:szCs w:val="20"/>
        </w:rPr>
        <w:t xml:space="preserve"> </w:t>
      </w:r>
    </w:p>
    <w:p w14:paraId="43869FA3" w14:textId="3B5A2A44"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lust for immaterial existence, lust for rebirth in a formless realm (</w:t>
      </w:r>
      <w:r w:rsidRPr="00D906E4">
        <w:rPr>
          <w:rFonts w:eastAsia="Times New Roman" w:cstheme="minorHAnsi"/>
          <w:i/>
          <w:iCs/>
          <w:sz w:val="20"/>
          <w:szCs w:val="20"/>
        </w:rPr>
        <w:t>arūparāgo</w:t>
      </w:r>
      <w:r w:rsidRPr="00D906E4">
        <w:rPr>
          <w:rFonts w:eastAsia="Times New Roman" w:cstheme="minorHAnsi"/>
          <w:sz w:val="20"/>
          <w:szCs w:val="20"/>
        </w:rPr>
        <w:t>)</w:t>
      </w:r>
      <w:r w:rsidR="00341E78" w:rsidRPr="00D906E4">
        <w:rPr>
          <w:rFonts w:eastAsia="Times New Roman" w:cstheme="minorHAnsi"/>
          <w:sz w:val="20"/>
          <w:szCs w:val="20"/>
        </w:rPr>
        <w:t xml:space="preserve"> </w:t>
      </w:r>
    </w:p>
    <w:p w14:paraId="1EA711A0" w14:textId="6A1E8905"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conceit (</w:t>
      </w:r>
      <w:hyperlink r:id="rId6" w:tooltip="Māna" w:history="1">
        <w:r w:rsidRPr="00D906E4">
          <w:rPr>
            <w:rFonts w:eastAsia="Times New Roman" w:cstheme="minorHAnsi"/>
            <w:i/>
            <w:iCs/>
            <w:sz w:val="20"/>
            <w:szCs w:val="20"/>
          </w:rPr>
          <w:t>māna</w:t>
        </w:r>
      </w:hyperlink>
      <w:r w:rsidR="00B62A8F">
        <w:rPr>
          <w:rFonts w:eastAsia="Times New Roman" w:cstheme="minorHAnsi"/>
          <w:sz w:val="20"/>
          <w:szCs w:val="20"/>
        </w:rPr>
        <w:t>)</w:t>
      </w:r>
    </w:p>
    <w:p w14:paraId="0A5BDFB3" w14:textId="17CB1EE2"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restlessness (</w:t>
      </w:r>
      <w:hyperlink r:id="rId7" w:tooltip="Uddhacca" w:history="1">
        <w:r w:rsidRPr="00D906E4">
          <w:rPr>
            <w:rFonts w:eastAsia="Times New Roman" w:cstheme="minorHAnsi"/>
            <w:i/>
            <w:iCs/>
            <w:sz w:val="20"/>
            <w:szCs w:val="20"/>
          </w:rPr>
          <w:t>uddhacca</w:t>
        </w:r>
      </w:hyperlink>
      <w:r w:rsidRPr="00D906E4">
        <w:rPr>
          <w:rFonts w:eastAsia="Times New Roman" w:cstheme="minorHAnsi"/>
          <w:sz w:val="20"/>
          <w:szCs w:val="20"/>
        </w:rPr>
        <w:t>)</w:t>
      </w:r>
      <w:r w:rsidR="00341E78" w:rsidRPr="00D906E4">
        <w:rPr>
          <w:rFonts w:eastAsia="Times New Roman" w:cstheme="minorHAnsi"/>
          <w:sz w:val="20"/>
          <w:szCs w:val="20"/>
        </w:rPr>
        <w:t xml:space="preserve"> </w:t>
      </w:r>
    </w:p>
    <w:p w14:paraId="01A18ED4" w14:textId="53996655" w:rsidR="00D906E4" w:rsidRPr="00D906E4" w:rsidRDefault="00D906E4" w:rsidP="00341E78">
      <w:pPr>
        <w:numPr>
          <w:ilvl w:val="0"/>
          <w:numId w:val="1"/>
        </w:numPr>
        <w:spacing w:before="100" w:beforeAutospacing="1" w:after="100" w:afterAutospacing="1"/>
        <w:ind w:right="720"/>
        <w:rPr>
          <w:rFonts w:eastAsia="Times New Roman" w:cstheme="minorHAnsi"/>
          <w:sz w:val="20"/>
          <w:szCs w:val="20"/>
        </w:rPr>
      </w:pPr>
      <w:r w:rsidRPr="00D906E4">
        <w:rPr>
          <w:rFonts w:eastAsia="Times New Roman" w:cstheme="minorHAnsi"/>
          <w:sz w:val="20"/>
          <w:szCs w:val="20"/>
        </w:rPr>
        <w:t>ignorance (</w:t>
      </w:r>
      <w:hyperlink r:id="rId8" w:tooltip="Avidyā (Buddhism)" w:history="1">
        <w:r w:rsidRPr="00D906E4">
          <w:rPr>
            <w:rFonts w:eastAsia="Times New Roman" w:cstheme="minorHAnsi"/>
            <w:i/>
            <w:iCs/>
            <w:sz w:val="20"/>
            <w:szCs w:val="20"/>
          </w:rPr>
          <w:t>avijjā</w:t>
        </w:r>
      </w:hyperlink>
      <w:r w:rsidRPr="00D906E4">
        <w:rPr>
          <w:rFonts w:eastAsia="Times New Roman" w:cstheme="minorHAnsi"/>
          <w:sz w:val="20"/>
          <w:szCs w:val="20"/>
        </w:rPr>
        <w:t>)</w:t>
      </w:r>
      <w:r w:rsidR="00341E78" w:rsidRPr="00D906E4">
        <w:rPr>
          <w:rFonts w:eastAsia="Times New Roman" w:cstheme="minorHAnsi"/>
          <w:sz w:val="20"/>
          <w:szCs w:val="20"/>
        </w:rPr>
        <w:t xml:space="preserve"> </w:t>
      </w:r>
    </w:p>
    <w:p w14:paraId="2DF1025B" w14:textId="7E63A929" w:rsidR="00D906E4" w:rsidRDefault="00341E78" w:rsidP="00341E78">
      <w:pPr>
        <w:spacing w:before="100" w:beforeAutospacing="1" w:after="100" w:afterAutospacing="1"/>
        <w:ind w:left="720" w:right="720"/>
        <w:rPr>
          <w:rFonts w:eastAsia="Times New Roman" w:cstheme="minorHAnsi"/>
          <w:sz w:val="20"/>
          <w:szCs w:val="20"/>
        </w:rPr>
      </w:pPr>
      <w:r>
        <w:rPr>
          <w:rFonts w:eastAsia="Times New Roman" w:cstheme="minorHAnsi"/>
          <w:sz w:val="20"/>
          <w:szCs w:val="20"/>
        </w:rPr>
        <w:lastRenderedPageBreak/>
        <w:t>T</w:t>
      </w:r>
      <w:r w:rsidR="00D906E4" w:rsidRPr="00D906E4">
        <w:rPr>
          <w:rFonts w:eastAsia="Times New Roman" w:cstheme="minorHAnsi"/>
          <w:sz w:val="20"/>
          <w:szCs w:val="20"/>
        </w:rPr>
        <w:t>hroughout the Sutta Pitaka, the first five fetters are referred to as "lower fetters" (</w:t>
      </w:r>
      <w:r w:rsidR="00D906E4" w:rsidRPr="00D906E4">
        <w:rPr>
          <w:rFonts w:eastAsia="Times New Roman" w:cstheme="minorHAnsi"/>
          <w:i/>
          <w:iCs/>
          <w:sz w:val="20"/>
          <w:szCs w:val="20"/>
        </w:rPr>
        <w:t>orambhāgiyāni saṃyojanāni</w:t>
      </w:r>
      <w:r w:rsidR="00D906E4" w:rsidRPr="00D906E4">
        <w:rPr>
          <w:rFonts w:eastAsia="Times New Roman" w:cstheme="minorHAnsi"/>
          <w:sz w:val="20"/>
          <w:szCs w:val="20"/>
        </w:rPr>
        <w:t xml:space="preserve">) and are eradicated upon becoming a </w:t>
      </w:r>
      <w:hyperlink r:id="rId9" w:tooltip="Non-returner" w:history="1">
        <w:r w:rsidR="00D906E4" w:rsidRPr="00D906E4">
          <w:rPr>
            <w:rFonts w:eastAsia="Times New Roman" w:cstheme="minorHAnsi"/>
            <w:sz w:val="20"/>
            <w:szCs w:val="20"/>
          </w:rPr>
          <w:t>non-returner</w:t>
        </w:r>
      </w:hyperlink>
      <w:r w:rsidR="00D906E4" w:rsidRPr="00D906E4">
        <w:rPr>
          <w:rFonts w:eastAsia="Times New Roman" w:cstheme="minorHAnsi"/>
          <w:sz w:val="20"/>
          <w:szCs w:val="20"/>
        </w:rPr>
        <w:t>; and, the last five fetters are referred to as "higher fetters" (</w:t>
      </w:r>
      <w:r w:rsidR="00D906E4" w:rsidRPr="00D906E4">
        <w:rPr>
          <w:rFonts w:eastAsia="Times New Roman" w:cstheme="minorHAnsi"/>
          <w:i/>
          <w:iCs/>
          <w:sz w:val="20"/>
          <w:szCs w:val="20"/>
        </w:rPr>
        <w:t>uddhambhāgiyāni saṃyojanāni</w:t>
      </w:r>
      <w:r w:rsidR="00D906E4" w:rsidRPr="00D906E4">
        <w:rPr>
          <w:rFonts w:eastAsia="Times New Roman" w:cstheme="minorHAnsi"/>
          <w:sz w:val="20"/>
          <w:szCs w:val="20"/>
        </w:rPr>
        <w:t xml:space="preserve">), eradicated by an </w:t>
      </w:r>
      <w:hyperlink r:id="rId10" w:tooltip="Arahant" w:history="1">
        <w:r w:rsidR="00D906E4" w:rsidRPr="00D906E4">
          <w:rPr>
            <w:rFonts w:eastAsia="Times New Roman" w:cstheme="minorHAnsi"/>
            <w:sz w:val="20"/>
            <w:szCs w:val="20"/>
          </w:rPr>
          <w:t>arahant</w:t>
        </w:r>
      </w:hyperlink>
      <w:r>
        <w:rPr>
          <w:rFonts w:eastAsia="Times New Roman" w:cstheme="minorHAnsi"/>
          <w:sz w:val="20"/>
          <w:szCs w:val="20"/>
        </w:rPr>
        <w:t>”</w:t>
      </w:r>
    </w:p>
    <w:p w14:paraId="396E31EF" w14:textId="023CCCF3" w:rsidR="00C84A45" w:rsidRDefault="00C84A45" w:rsidP="00C84A45">
      <w:pPr>
        <w:ind w:firstLine="360"/>
      </w:pPr>
      <w:r>
        <w:t xml:space="preserve">In my view the doubts about the supermundane consciousnesses and lust for material or formless rebirths is a cultural add-on, as for centuries Buddhism was, in the context of emerging Hinduism, vying for credibility, and rebirth is a core concept of the Hindu understanding of reality.  My studies have led me to understand the historical Buddha refused to talk either favorably or unfavorably about </w:t>
      </w:r>
      <w:r w:rsidR="00935AB7">
        <w:t>rebirth, instead emphasizing the importance of direct observation of the three characteristics of impermanence, dukkha and non-self to foster Awakening; thoughts or assumptions about rebirth could only be speculative and a core aspect of the eightfold path is experiential, not speculative.</w:t>
      </w:r>
    </w:p>
    <w:p w14:paraId="718F3D92" w14:textId="77777777" w:rsidR="00935AB7" w:rsidRDefault="00935AB7" w:rsidP="00C84A45">
      <w:pPr>
        <w:ind w:firstLine="360"/>
      </w:pPr>
    </w:p>
    <w:p w14:paraId="505D7B09" w14:textId="26259E12" w:rsidR="00341E78" w:rsidRDefault="00C84A45" w:rsidP="00C84A45">
      <w:pPr>
        <w:ind w:firstLine="360"/>
        <w:rPr>
          <w:rFonts w:eastAsia="Times New Roman" w:cstheme="minorHAnsi"/>
        </w:rPr>
      </w:pPr>
      <w:r>
        <w:t xml:space="preserve">Salayatana is being considered out of the usual order for contemplation, which traditionally focuses on the five aggregates before the six sense bases; I am changing the order of the </w:t>
      </w:r>
      <w:r w:rsidR="00935AB7">
        <w:t>discussions</w:t>
      </w:r>
      <w:r>
        <w:t xml:space="preserve"> to review a key concept that is not explicitly mentioned in the Satipatthana Sutta, </w:t>
      </w:r>
      <w:r w:rsidRPr="00194844">
        <w:rPr>
          <w:i/>
          <w:iCs/>
        </w:rPr>
        <w:t>paticcasamuppada</w:t>
      </w:r>
      <w:r>
        <w:t xml:space="preserve">, traditionally translated as </w:t>
      </w:r>
      <w:r w:rsidRPr="00194844">
        <w:rPr>
          <w:i/>
          <w:iCs/>
        </w:rPr>
        <w:t>dependent origination</w:t>
      </w:r>
      <w:r>
        <w:t xml:space="preserve">, although I have changed the terminology to </w:t>
      </w:r>
      <w:r w:rsidRPr="00194844">
        <w:rPr>
          <w:i/>
          <w:iCs/>
        </w:rPr>
        <w:t>contingent provisional emergence</w:t>
      </w:r>
      <w:r>
        <w:t>.  I am proceeding in this way to provide an alternative approach to understanding and investigating the five aggregates</w:t>
      </w:r>
      <w:r w:rsidR="00935AB7">
        <w:t xml:space="preserve"> through explaining the function of salayatana</w:t>
      </w:r>
      <w:r>
        <w:t>.</w:t>
      </w:r>
      <w:r>
        <w:t xml:space="preserve">  </w:t>
      </w:r>
      <w:r w:rsidR="00341E78">
        <w:rPr>
          <w:rFonts w:eastAsia="Times New Roman" w:cstheme="minorHAnsi"/>
        </w:rPr>
        <w:t xml:space="preserve">Here is a brief </w:t>
      </w:r>
      <w:r w:rsidR="00CF0AB5">
        <w:rPr>
          <w:rFonts w:eastAsia="Times New Roman" w:cstheme="minorHAnsi"/>
        </w:rPr>
        <w:t>excerpt from an article from a previous talk about the role of fetters; the part in bold italics describes their function:</w:t>
      </w:r>
    </w:p>
    <w:p w14:paraId="178AC85C" w14:textId="77777777" w:rsidR="00C84A45" w:rsidRPr="00C84A45" w:rsidRDefault="00C84A45" w:rsidP="00C84A45">
      <w:pPr>
        <w:ind w:firstLine="360"/>
      </w:pPr>
    </w:p>
    <w:p w14:paraId="589788AB" w14:textId="172AFBE5" w:rsidR="00CF0AB5" w:rsidRPr="00CF0AB5" w:rsidRDefault="00CF0AB5" w:rsidP="00CF0AB5">
      <w:pPr>
        <w:autoSpaceDE w:val="0"/>
        <w:autoSpaceDN w:val="0"/>
        <w:adjustRightInd w:val="0"/>
        <w:ind w:left="2160"/>
        <w:rPr>
          <w:rFonts w:ascii="Calibri" w:eastAsia="Times New Roman" w:hAnsi="Calibri" w:cs="DPalatino"/>
          <w:sz w:val="20"/>
          <w:szCs w:val="20"/>
        </w:rPr>
      </w:pPr>
      <w:r>
        <w:rPr>
          <w:rFonts w:ascii="Calibri" w:eastAsia="Times New Roman" w:hAnsi="Calibri" w:cs="DPalatino"/>
          <w:sz w:val="20"/>
          <w:szCs w:val="20"/>
        </w:rPr>
        <w:t>…</w:t>
      </w:r>
      <w:r w:rsidRPr="00CF0AB5">
        <w:rPr>
          <w:rFonts w:ascii="Calibri" w:eastAsia="Times New Roman" w:hAnsi="Calibri" w:cs="DPalatino"/>
          <w:sz w:val="20"/>
          <w:szCs w:val="20"/>
        </w:rPr>
        <w:t>From ignorance as a requisite condition come fabrications.</w:t>
      </w:r>
    </w:p>
    <w:p w14:paraId="4862E7E1" w14:textId="77777777" w:rsidR="00CF0AB5" w:rsidRPr="00CF0AB5" w:rsidRDefault="00CF0AB5" w:rsidP="00CF0AB5">
      <w:pPr>
        <w:autoSpaceDE w:val="0"/>
        <w:autoSpaceDN w:val="0"/>
        <w:adjustRightInd w:val="0"/>
        <w:ind w:left="2160"/>
        <w:rPr>
          <w:rFonts w:ascii="Calibri" w:eastAsia="Times New Roman" w:hAnsi="Calibri" w:cs="DPalatino"/>
          <w:sz w:val="20"/>
          <w:szCs w:val="20"/>
        </w:rPr>
      </w:pPr>
      <w:r w:rsidRPr="00CF0AB5">
        <w:rPr>
          <w:rFonts w:ascii="Calibri" w:eastAsia="Times New Roman" w:hAnsi="Calibri" w:cs="DPalatino"/>
          <w:sz w:val="20"/>
          <w:szCs w:val="20"/>
        </w:rPr>
        <w:t>From fabrications as a requisite condition comes consciousness.</w:t>
      </w:r>
    </w:p>
    <w:p w14:paraId="156681D3" w14:textId="77777777" w:rsidR="00CF0AB5" w:rsidRPr="00CF0AB5" w:rsidRDefault="00CF0AB5" w:rsidP="00CF0AB5">
      <w:pPr>
        <w:autoSpaceDE w:val="0"/>
        <w:autoSpaceDN w:val="0"/>
        <w:adjustRightInd w:val="0"/>
        <w:ind w:left="2160"/>
        <w:rPr>
          <w:rFonts w:ascii="Calibri" w:eastAsia="Times New Roman" w:hAnsi="Calibri" w:cs="DPalatino"/>
          <w:sz w:val="20"/>
          <w:szCs w:val="20"/>
        </w:rPr>
      </w:pPr>
      <w:r w:rsidRPr="00CF0AB5">
        <w:rPr>
          <w:rFonts w:ascii="Calibri" w:eastAsia="Times New Roman" w:hAnsi="Calibri" w:cs="DPalatino"/>
          <w:sz w:val="20"/>
          <w:szCs w:val="20"/>
        </w:rPr>
        <w:t>From consciousness as a requisite condition comes name-&amp;-form.</w:t>
      </w:r>
    </w:p>
    <w:p w14:paraId="188F4263" w14:textId="77777777" w:rsidR="00CF0AB5" w:rsidRPr="00CF0AB5" w:rsidRDefault="00CF0AB5" w:rsidP="00CF0AB5">
      <w:pPr>
        <w:autoSpaceDE w:val="0"/>
        <w:autoSpaceDN w:val="0"/>
        <w:adjustRightInd w:val="0"/>
        <w:ind w:left="2160"/>
        <w:rPr>
          <w:rFonts w:ascii="Calibri" w:eastAsia="Times New Roman" w:hAnsi="Calibri" w:cs="DPalatino"/>
          <w:b/>
          <w:bCs/>
          <w:i/>
          <w:iCs/>
          <w:sz w:val="20"/>
          <w:szCs w:val="20"/>
        </w:rPr>
      </w:pPr>
      <w:r w:rsidRPr="00CF0AB5">
        <w:rPr>
          <w:rFonts w:ascii="Calibri" w:eastAsia="Times New Roman" w:hAnsi="Calibri" w:cs="DPalatino"/>
          <w:b/>
          <w:bCs/>
          <w:i/>
          <w:iCs/>
          <w:sz w:val="20"/>
          <w:szCs w:val="20"/>
        </w:rPr>
        <w:t>From name-and-form as a requisite condition come the six sense media.</w:t>
      </w:r>
    </w:p>
    <w:p w14:paraId="4AF2956C" w14:textId="77777777" w:rsidR="00CF0AB5" w:rsidRPr="00CF0AB5" w:rsidRDefault="00CF0AB5" w:rsidP="00CF0AB5">
      <w:pPr>
        <w:autoSpaceDE w:val="0"/>
        <w:autoSpaceDN w:val="0"/>
        <w:adjustRightInd w:val="0"/>
        <w:ind w:left="2160"/>
        <w:rPr>
          <w:rFonts w:ascii="Calibri" w:eastAsia="Times New Roman" w:hAnsi="Calibri" w:cs="DPalatino"/>
          <w:b/>
          <w:bCs/>
          <w:i/>
          <w:iCs/>
          <w:sz w:val="20"/>
          <w:szCs w:val="20"/>
        </w:rPr>
      </w:pPr>
      <w:r w:rsidRPr="00CF0AB5">
        <w:rPr>
          <w:rFonts w:ascii="Calibri" w:eastAsia="Times New Roman" w:hAnsi="Calibri" w:cs="DPalatino"/>
          <w:b/>
          <w:bCs/>
          <w:i/>
          <w:iCs/>
          <w:sz w:val="20"/>
          <w:szCs w:val="20"/>
        </w:rPr>
        <w:t>From the six sense media as a requisite condition comes contact.</w:t>
      </w:r>
    </w:p>
    <w:p w14:paraId="575B38AF" w14:textId="77777777" w:rsidR="00CF0AB5" w:rsidRPr="00CF0AB5" w:rsidRDefault="00CF0AB5" w:rsidP="00CF0AB5">
      <w:pPr>
        <w:autoSpaceDE w:val="0"/>
        <w:autoSpaceDN w:val="0"/>
        <w:adjustRightInd w:val="0"/>
        <w:ind w:left="2160"/>
        <w:rPr>
          <w:rFonts w:ascii="Calibri" w:eastAsia="Times New Roman" w:hAnsi="Calibri" w:cs="DPalatino"/>
          <w:b/>
          <w:bCs/>
          <w:i/>
          <w:iCs/>
          <w:sz w:val="20"/>
          <w:szCs w:val="20"/>
        </w:rPr>
      </w:pPr>
      <w:r w:rsidRPr="00CF0AB5">
        <w:rPr>
          <w:rFonts w:ascii="Calibri" w:eastAsia="Times New Roman" w:hAnsi="Calibri" w:cs="DPalatino"/>
          <w:b/>
          <w:bCs/>
          <w:i/>
          <w:iCs/>
          <w:sz w:val="20"/>
          <w:szCs w:val="20"/>
        </w:rPr>
        <w:t>From contact as a requisite condition comes feeling.</w:t>
      </w:r>
    </w:p>
    <w:p w14:paraId="619A735B" w14:textId="77777777" w:rsidR="00CF0AB5" w:rsidRPr="00CF0AB5" w:rsidRDefault="00CF0AB5" w:rsidP="00CF0AB5">
      <w:pPr>
        <w:autoSpaceDE w:val="0"/>
        <w:autoSpaceDN w:val="0"/>
        <w:adjustRightInd w:val="0"/>
        <w:ind w:left="2160"/>
        <w:rPr>
          <w:rFonts w:ascii="Calibri" w:eastAsia="Times New Roman" w:hAnsi="Calibri" w:cs="DPalatino"/>
          <w:b/>
          <w:bCs/>
          <w:i/>
          <w:iCs/>
          <w:sz w:val="20"/>
          <w:szCs w:val="20"/>
        </w:rPr>
      </w:pPr>
      <w:r w:rsidRPr="00CF0AB5">
        <w:rPr>
          <w:rFonts w:ascii="Calibri" w:eastAsia="Times New Roman" w:hAnsi="Calibri" w:cs="DPalatino"/>
          <w:b/>
          <w:bCs/>
          <w:i/>
          <w:iCs/>
          <w:sz w:val="20"/>
          <w:szCs w:val="20"/>
        </w:rPr>
        <w:t>From feeling as a requisite condition comes craving.</w:t>
      </w:r>
    </w:p>
    <w:p w14:paraId="7D484578" w14:textId="77777777" w:rsidR="00CF0AB5" w:rsidRPr="00CF0AB5" w:rsidRDefault="00CF0AB5" w:rsidP="00CF0AB5">
      <w:pPr>
        <w:autoSpaceDE w:val="0"/>
        <w:autoSpaceDN w:val="0"/>
        <w:adjustRightInd w:val="0"/>
        <w:ind w:left="2160"/>
        <w:rPr>
          <w:rFonts w:ascii="Calibri" w:eastAsia="Times New Roman" w:hAnsi="Calibri" w:cs="DPalatino"/>
          <w:b/>
          <w:bCs/>
          <w:i/>
          <w:iCs/>
          <w:sz w:val="20"/>
          <w:szCs w:val="20"/>
        </w:rPr>
      </w:pPr>
      <w:r w:rsidRPr="00CF0AB5">
        <w:rPr>
          <w:rFonts w:ascii="Calibri" w:eastAsia="Times New Roman" w:hAnsi="Calibri" w:cs="DPalatino"/>
          <w:b/>
          <w:bCs/>
          <w:i/>
          <w:iCs/>
          <w:sz w:val="20"/>
          <w:szCs w:val="20"/>
        </w:rPr>
        <w:t>From craving as a requisite condition comes clinging/sustenance.</w:t>
      </w:r>
    </w:p>
    <w:p w14:paraId="589DFD82" w14:textId="77777777" w:rsidR="00CF0AB5" w:rsidRPr="00CF0AB5" w:rsidRDefault="00CF0AB5" w:rsidP="00CF0AB5">
      <w:pPr>
        <w:autoSpaceDE w:val="0"/>
        <w:autoSpaceDN w:val="0"/>
        <w:adjustRightInd w:val="0"/>
        <w:ind w:left="2160"/>
        <w:rPr>
          <w:rFonts w:ascii="Calibri" w:eastAsia="Times New Roman" w:hAnsi="Calibri" w:cs="DPalatino"/>
          <w:i/>
          <w:iCs/>
          <w:sz w:val="20"/>
          <w:szCs w:val="20"/>
        </w:rPr>
      </w:pPr>
      <w:r w:rsidRPr="00CF0AB5">
        <w:rPr>
          <w:rFonts w:ascii="Calibri" w:eastAsia="Times New Roman" w:hAnsi="Calibri" w:cs="DPalatino"/>
          <w:b/>
          <w:bCs/>
          <w:i/>
          <w:iCs/>
          <w:sz w:val="20"/>
          <w:szCs w:val="20"/>
        </w:rPr>
        <w:t>From clinging/sustenance as a requisite condition comes becoming</w:t>
      </w:r>
      <w:r w:rsidRPr="00CF0AB5">
        <w:rPr>
          <w:rFonts w:ascii="Calibri" w:eastAsia="Times New Roman" w:hAnsi="Calibri" w:cs="DPalatino"/>
          <w:i/>
          <w:iCs/>
          <w:sz w:val="20"/>
          <w:szCs w:val="20"/>
        </w:rPr>
        <w:t>.</w:t>
      </w:r>
    </w:p>
    <w:p w14:paraId="40135A3D" w14:textId="77777777" w:rsidR="00CF0AB5" w:rsidRPr="00CF0AB5" w:rsidRDefault="00CF0AB5" w:rsidP="00CF0AB5">
      <w:pPr>
        <w:autoSpaceDE w:val="0"/>
        <w:autoSpaceDN w:val="0"/>
        <w:adjustRightInd w:val="0"/>
        <w:ind w:left="2160"/>
        <w:rPr>
          <w:rFonts w:ascii="Calibri" w:eastAsia="Times New Roman" w:hAnsi="Calibri" w:cs="DPalatino"/>
          <w:sz w:val="20"/>
          <w:szCs w:val="20"/>
        </w:rPr>
      </w:pPr>
      <w:r w:rsidRPr="00CF0AB5">
        <w:rPr>
          <w:rFonts w:ascii="Calibri" w:eastAsia="Times New Roman" w:hAnsi="Calibri" w:cs="DPalatino"/>
          <w:sz w:val="20"/>
          <w:szCs w:val="20"/>
        </w:rPr>
        <w:t>From becoming as a requisite condition comes birth.</w:t>
      </w:r>
    </w:p>
    <w:p w14:paraId="4179B339" w14:textId="77777777" w:rsidR="00CF0AB5" w:rsidRPr="00CF0AB5" w:rsidRDefault="00CF0AB5" w:rsidP="00CF0AB5">
      <w:pPr>
        <w:autoSpaceDE w:val="0"/>
        <w:autoSpaceDN w:val="0"/>
        <w:adjustRightInd w:val="0"/>
        <w:ind w:left="2160"/>
        <w:rPr>
          <w:rFonts w:ascii="Calibri" w:eastAsia="Times New Roman" w:hAnsi="Calibri" w:cs="DPalatino"/>
          <w:sz w:val="20"/>
          <w:szCs w:val="20"/>
        </w:rPr>
      </w:pPr>
      <w:r w:rsidRPr="00CF0AB5">
        <w:rPr>
          <w:rFonts w:ascii="Calibri" w:eastAsia="Times New Roman" w:hAnsi="Calibri" w:cs="DPalatino"/>
          <w:sz w:val="20"/>
          <w:szCs w:val="20"/>
        </w:rPr>
        <w:t>From birth as a requisite condition, then aging-&amp;-death, sorrow, lamentation,</w:t>
      </w:r>
    </w:p>
    <w:p w14:paraId="74DD5C1C" w14:textId="77777777" w:rsidR="00CF0AB5" w:rsidRPr="00CF0AB5" w:rsidRDefault="00CF0AB5" w:rsidP="00CF0AB5">
      <w:pPr>
        <w:autoSpaceDE w:val="0"/>
        <w:autoSpaceDN w:val="0"/>
        <w:adjustRightInd w:val="0"/>
        <w:ind w:left="2160"/>
        <w:rPr>
          <w:rFonts w:ascii="Calibri" w:eastAsia="Times New Roman" w:hAnsi="Calibri" w:cs="DPalatino"/>
          <w:sz w:val="20"/>
          <w:szCs w:val="20"/>
        </w:rPr>
      </w:pPr>
      <w:r w:rsidRPr="00CF0AB5">
        <w:rPr>
          <w:rFonts w:ascii="Calibri" w:eastAsia="Times New Roman" w:hAnsi="Calibri" w:cs="DPalatino"/>
          <w:sz w:val="20"/>
          <w:szCs w:val="20"/>
        </w:rPr>
        <w:t>pain, distress, and despair come into play. Such is the origination of this entire</w:t>
      </w:r>
    </w:p>
    <w:p w14:paraId="4F710C97" w14:textId="77777777" w:rsidR="00CF0AB5" w:rsidRDefault="00CF0AB5" w:rsidP="00CF0AB5">
      <w:pPr>
        <w:autoSpaceDE w:val="0"/>
        <w:autoSpaceDN w:val="0"/>
        <w:adjustRightInd w:val="0"/>
        <w:ind w:left="2160"/>
        <w:rPr>
          <w:rFonts w:ascii="Calibri" w:eastAsia="Times New Roman" w:hAnsi="Calibri" w:cs="DPalatino"/>
          <w:sz w:val="20"/>
          <w:szCs w:val="20"/>
        </w:rPr>
      </w:pPr>
      <w:r w:rsidRPr="00CF0AB5">
        <w:rPr>
          <w:rFonts w:ascii="Calibri" w:eastAsia="Times New Roman" w:hAnsi="Calibri" w:cs="DPalatino"/>
          <w:sz w:val="20"/>
          <w:szCs w:val="20"/>
        </w:rPr>
        <w:t>mass of stress &amp; suffering</w:t>
      </w:r>
      <w:r>
        <w:rPr>
          <w:rFonts w:ascii="Calibri" w:eastAsia="Times New Roman" w:hAnsi="Calibri" w:cs="DPalatino"/>
          <w:sz w:val="20"/>
          <w:szCs w:val="20"/>
        </w:rPr>
        <w:t>…</w:t>
      </w:r>
    </w:p>
    <w:p w14:paraId="12BC4573" w14:textId="77777777" w:rsidR="00CF0AB5" w:rsidRDefault="00CF0AB5" w:rsidP="00CF0AB5">
      <w:pPr>
        <w:autoSpaceDE w:val="0"/>
        <w:autoSpaceDN w:val="0"/>
        <w:adjustRightInd w:val="0"/>
        <w:rPr>
          <w:rFonts w:ascii="Calibri" w:eastAsia="Times New Roman" w:hAnsi="Calibri" w:cs="DPalatino"/>
        </w:rPr>
      </w:pPr>
    </w:p>
    <w:p w14:paraId="6B23862C" w14:textId="6C63EF8B" w:rsidR="00CF0AB5" w:rsidRPr="00CF0AB5" w:rsidRDefault="00CF0AB5" w:rsidP="00CF0AB5">
      <w:pPr>
        <w:autoSpaceDE w:val="0"/>
        <w:autoSpaceDN w:val="0"/>
        <w:adjustRightInd w:val="0"/>
        <w:rPr>
          <w:rFonts w:ascii="Calibri" w:eastAsia="Times New Roman" w:hAnsi="Calibri" w:cs="DPalatino"/>
          <w:sz w:val="20"/>
          <w:szCs w:val="20"/>
        </w:rPr>
      </w:pPr>
      <w:r>
        <w:rPr>
          <w:rFonts w:ascii="Calibri" w:eastAsia="Times New Roman" w:hAnsi="Calibri" w:cs="DPalatino"/>
        </w:rPr>
        <w:t xml:space="preserve"> </w:t>
      </w:r>
      <w:r>
        <w:rPr>
          <w:rFonts w:ascii="Calibri" w:eastAsia="Times New Roman" w:hAnsi="Calibri" w:cs="DPalatino"/>
          <w:sz w:val="20"/>
          <w:szCs w:val="20"/>
        </w:rPr>
        <w:t xml:space="preserve">I mentioned above that </w:t>
      </w:r>
      <w:r w:rsidR="00935AB7">
        <w:rPr>
          <w:rFonts w:ascii="Calibri" w:eastAsia="Times New Roman" w:hAnsi="Calibri" w:cs="DPalatino"/>
          <w:sz w:val="20"/>
          <w:szCs w:val="20"/>
        </w:rPr>
        <w:t xml:space="preserve">contemplation of </w:t>
      </w:r>
      <w:r>
        <w:rPr>
          <w:rFonts w:ascii="Calibri" w:eastAsia="Times New Roman" w:hAnsi="Calibri" w:cs="DPalatino"/>
          <w:sz w:val="20"/>
          <w:szCs w:val="20"/>
        </w:rPr>
        <w:t>the sense bases involve</w:t>
      </w:r>
      <w:r w:rsidR="00935AB7">
        <w:rPr>
          <w:rFonts w:ascii="Calibri" w:eastAsia="Times New Roman" w:hAnsi="Calibri" w:cs="DPalatino"/>
          <w:sz w:val="20"/>
          <w:szCs w:val="20"/>
        </w:rPr>
        <w:t>s</w:t>
      </w:r>
      <w:r>
        <w:rPr>
          <w:rFonts w:ascii="Calibri" w:eastAsia="Times New Roman" w:hAnsi="Calibri" w:cs="DPalatino"/>
          <w:sz w:val="20"/>
          <w:szCs w:val="20"/>
        </w:rPr>
        <w:t xml:space="preserve"> the interaction between a stimulus and how </w:t>
      </w:r>
      <w:r w:rsidR="00935AB7">
        <w:rPr>
          <w:rFonts w:ascii="Calibri" w:eastAsia="Times New Roman" w:hAnsi="Calibri" w:cs="DPalatino"/>
          <w:sz w:val="20"/>
          <w:szCs w:val="20"/>
        </w:rPr>
        <w:t>it</w:t>
      </w:r>
      <w:r>
        <w:rPr>
          <w:rFonts w:ascii="Calibri" w:eastAsia="Times New Roman" w:hAnsi="Calibri" w:cs="DPalatino"/>
          <w:sz w:val="20"/>
          <w:szCs w:val="20"/>
        </w:rPr>
        <w:t xml:space="preserve"> is processed by the mind, the sixth sense base.  This sort of interactive dynamic process is name-and-form, namarupa (nah-mah-roo-pah) in Pali.  Contact is the initial stimulating event.  The relevant fetters in this process are </w:t>
      </w:r>
      <w:r w:rsidRPr="00B62A8F">
        <w:rPr>
          <w:rFonts w:ascii="Calibri" w:eastAsia="Times New Roman" w:hAnsi="Calibri" w:cs="DPalatino"/>
          <w:i/>
          <w:iCs/>
          <w:sz w:val="20"/>
          <w:szCs w:val="20"/>
        </w:rPr>
        <w:t>lust for material existence, conceit</w:t>
      </w:r>
      <w:r>
        <w:rPr>
          <w:rFonts w:ascii="Calibri" w:eastAsia="Times New Roman" w:hAnsi="Calibri" w:cs="DPalatino"/>
          <w:sz w:val="20"/>
          <w:szCs w:val="20"/>
        </w:rPr>
        <w:t xml:space="preserve"> </w:t>
      </w:r>
      <w:r w:rsidR="00B62A8F">
        <w:rPr>
          <w:rFonts w:ascii="Calibri" w:eastAsia="Times New Roman" w:hAnsi="Calibri" w:cs="DPalatino"/>
          <w:sz w:val="20"/>
          <w:szCs w:val="20"/>
        </w:rPr>
        <w:t>in terms of comparing one’s selfing experience as better</w:t>
      </w:r>
      <w:r w:rsidR="00935AB7">
        <w:rPr>
          <w:rFonts w:ascii="Calibri" w:eastAsia="Times New Roman" w:hAnsi="Calibri" w:cs="DPalatino"/>
          <w:sz w:val="20"/>
          <w:szCs w:val="20"/>
        </w:rPr>
        <w:t>,</w:t>
      </w:r>
      <w:r w:rsidR="00B62A8F">
        <w:rPr>
          <w:rFonts w:ascii="Calibri" w:eastAsia="Times New Roman" w:hAnsi="Calibri" w:cs="DPalatino"/>
          <w:sz w:val="20"/>
          <w:szCs w:val="20"/>
        </w:rPr>
        <w:t xml:space="preserve"> worse </w:t>
      </w:r>
      <w:r w:rsidR="00935AB7">
        <w:rPr>
          <w:rFonts w:ascii="Calibri" w:eastAsia="Times New Roman" w:hAnsi="Calibri" w:cs="DPalatino"/>
          <w:sz w:val="20"/>
          <w:szCs w:val="20"/>
        </w:rPr>
        <w:t xml:space="preserve">or just singularly different </w:t>
      </w:r>
      <w:r w:rsidR="00B62A8F">
        <w:rPr>
          <w:rFonts w:ascii="Calibri" w:eastAsia="Times New Roman" w:hAnsi="Calibri" w:cs="DPalatino"/>
          <w:sz w:val="20"/>
          <w:szCs w:val="20"/>
        </w:rPr>
        <w:t xml:space="preserve">than another’s, </w:t>
      </w:r>
      <w:r w:rsidR="00B62A8F" w:rsidRPr="00B62A8F">
        <w:rPr>
          <w:rFonts w:ascii="Calibri" w:eastAsia="Times New Roman" w:hAnsi="Calibri" w:cs="DPalatino"/>
          <w:i/>
          <w:iCs/>
          <w:sz w:val="20"/>
          <w:szCs w:val="20"/>
        </w:rPr>
        <w:t>ignorance</w:t>
      </w:r>
      <w:r w:rsidR="00B62A8F">
        <w:rPr>
          <w:rFonts w:ascii="Calibri" w:eastAsia="Times New Roman" w:hAnsi="Calibri" w:cs="DPalatino"/>
          <w:sz w:val="20"/>
          <w:szCs w:val="20"/>
        </w:rPr>
        <w:t xml:space="preserve"> regarding impermanence and the absence of an enduring/autonomous self; this manifests as the </w:t>
      </w:r>
      <w:r w:rsidR="00B62A8F" w:rsidRPr="00B62A8F">
        <w:rPr>
          <w:rFonts w:ascii="Calibri" w:eastAsia="Times New Roman" w:hAnsi="Calibri" w:cs="DPalatino"/>
          <w:i/>
          <w:iCs/>
          <w:sz w:val="20"/>
          <w:szCs w:val="20"/>
        </w:rPr>
        <w:t>belief that the self exists</w:t>
      </w:r>
      <w:r w:rsidR="00B62A8F">
        <w:rPr>
          <w:rFonts w:ascii="Calibri" w:eastAsia="Times New Roman" w:hAnsi="Calibri" w:cs="DPalatino"/>
          <w:sz w:val="20"/>
          <w:szCs w:val="20"/>
        </w:rPr>
        <w:t>.</w:t>
      </w:r>
      <w:r>
        <w:rPr>
          <w:rFonts w:ascii="Calibri" w:eastAsia="Times New Roman" w:hAnsi="Calibri" w:cs="DPalatino"/>
          <w:sz w:val="20"/>
          <w:szCs w:val="20"/>
        </w:rPr>
        <w:t xml:space="preserve"> </w:t>
      </w:r>
    </w:p>
    <w:p w14:paraId="55C74464" w14:textId="26449284" w:rsidR="00CF0AB5" w:rsidRDefault="00935AB7" w:rsidP="00935AB7">
      <w:pPr>
        <w:spacing w:before="100" w:beforeAutospacing="1" w:after="100" w:afterAutospacing="1"/>
        <w:ind w:firstLine="360"/>
        <w:rPr>
          <w:rFonts w:eastAsia="Times New Roman" w:cstheme="minorHAnsi"/>
        </w:rPr>
      </w:pPr>
      <w:r>
        <w:rPr>
          <w:rFonts w:eastAsia="Times New Roman" w:cstheme="minorHAnsi"/>
        </w:rPr>
        <w:t xml:space="preserve">When practicing mindfulness of breathing, guarding the sense doors involves diligent and mindful noticing </w:t>
      </w:r>
      <w:r w:rsidR="00E847D5">
        <w:rPr>
          <w:rFonts w:eastAsia="Times New Roman" w:cstheme="minorHAnsi"/>
        </w:rPr>
        <w:t xml:space="preserve">regarding </w:t>
      </w:r>
      <w:r>
        <w:rPr>
          <w:rFonts w:eastAsia="Times New Roman" w:cstheme="minorHAnsi"/>
        </w:rPr>
        <w:t xml:space="preserve">the way the mind fabricates a meaningful self-experiencing; my practice includes a persistent attempt to notice the transient </w:t>
      </w:r>
      <w:r w:rsidR="00E847D5">
        <w:rPr>
          <w:rFonts w:eastAsia="Times New Roman" w:cstheme="minorHAnsi"/>
        </w:rPr>
        <w:t xml:space="preserve">nature of subjective experience, either noting the changing nature of body sensations or hearing sensations, alternating with tracking the changing characteristics of the mind’s meaning-making process regarding hearing or embodied sensations—sometimes alert and precise in attending to the changes of sensation or sometimes a bit distracted or resistant to maintaining moment-by-moment investigative awareness. </w:t>
      </w:r>
    </w:p>
    <w:p w14:paraId="2FB59C49" w14:textId="6602CDAA" w:rsidR="00E847D5" w:rsidRPr="00D906E4" w:rsidRDefault="00E847D5" w:rsidP="00935AB7">
      <w:pPr>
        <w:spacing w:before="100" w:beforeAutospacing="1" w:after="100" w:afterAutospacing="1"/>
        <w:ind w:firstLine="360"/>
        <w:rPr>
          <w:rFonts w:eastAsia="Times New Roman" w:cstheme="minorHAnsi"/>
        </w:rPr>
      </w:pPr>
      <w:r>
        <w:rPr>
          <w:rFonts w:eastAsia="Times New Roman" w:cstheme="minorHAnsi"/>
        </w:rPr>
        <w:t>This sort of ongoing process is a great way to sort through how the mind is interpreting what is being experienced within the environment of the pandemic as well as providing ways to wisely support “turning poison into medicine”, that is, using the distress and confusion the mind experiences during the pandemic into a path for spiritual transformation.  I hope these notes provide concepts and practices that foster this growth.</w:t>
      </w:r>
    </w:p>
    <w:p w14:paraId="768E93D5" w14:textId="77777777" w:rsidR="00BE4502" w:rsidRDefault="00BE4502" w:rsidP="00BE4502"/>
    <w:p w14:paraId="7DECF0C8" w14:textId="77777777" w:rsidR="00EB09A6" w:rsidRDefault="00EB09A6" w:rsidP="007E1146">
      <w:pPr>
        <w:ind w:firstLine="360"/>
      </w:pPr>
    </w:p>
    <w:sectPr w:rsidR="00EB09A6" w:rsidSect="007E11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Palatin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D76BC4"/>
    <w:multiLevelType w:val="multilevel"/>
    <w:tmpl w:val="2C146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46"/>
    <w:rsid w:val="00194844"/>
    <w:rsid w:val="00341E78"/>
    <w:rsid w:val="00724AFE"/>
    <w:rsid w:val="00790393"/>
    <w:rsid w:val="007E1146"/>
    <w:rsid w:val="00935AB7"/>
    <w:rsid w:val="00A72E3A"/>
    <w:rsid w:val="00B62A8F"/>
    <w:rsid w:val="00BE4502"/>
    <w:rsid w:val="00C84A45"/>
    <w:rsid w:val="00CF0AB5"/>
    <w:rsid w:val="00D906E4"/>
    <w:rsid w:val="00E847D5"/>
    <w:rsid w:val="00EB09A6"/>
    <w:rsid w:val="00FC4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8EAC"/>
  <w15:chartTrackingRefBased/>
  <w15:docId w15:val="{14956FB9-F575-4562-B944-83FF0352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63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vidy%C4%81_(Buddhism)" TargetMode="External"/><Relationship Id="rId3" Type="http://schemas.openxmlformats.org/officeDocument/2006/relationships/settings" Target="settings.xml"/><Relationship Id="rId7" Type="http://schemas.openxmlformats.org/officeDocument/2006/relationships/hyperlink" Target="https://en.wikipedia.org/wiki/Uddhac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M%C4%81na" TargetMode="External"/><Relationship Id="rId11" Type="http://schemas.openxmlformats.org/officeDocument/2006/relationships/fontTable" Target="fontTable.xml"/><Relationship Id="rId5" Type="http://schemas.openxmlformats.org/officeDocument/2006/relationships/hyperlink" Target="https://en.wikipedia.org/wiki/Vicikicch%C4%81" TargetMode="External"/><Relationship Id="rId10" Type="http://schemas.openxmlformats.org/officeDocument/2006/relationships/hyperlink" Target="https://en.wikipedia.org/wiki/Arahant" TargetMode="External"/><Relationship Id="rId4" Type="http://schemas.openxmlformats.org/officeDocument/2006/relationships/webSettings" Target="webSettings.xml"/><Relationship Id="rId9" Type="http://schemas.openxmlformats.org/officeDocument/2006/relationships/hyperlink" Target="https://en.wikipedia.org/wiki/Non-retur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3016</TotalTime>
  <Pages>2</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2020-05-18T14:01:00Z</dcterms:created>
  <dcterms:modified xsi:type="dcterms:W3CDTF">2020-05-20T18:38:00Z</dcterms:modified>
</cp:coreProperties>
</file>