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93F2C" w14:textId="6C015DA5" w:rsidR="00790393" w:rsidRDefault="00F849A0" w:rsidP="00F849A0">
      <w:pPr>
        <w:jc w:val="center"/>
      </w:pPr>
      <w:r>
        <w:t>Mindfulness and Confidence</w:t>
      </w:r>
    </w:p>
    <w:p w14:paraId="0B726E78" w14:textId="400497E2" w:rsidR="00F849A0" w:rsidRDefault="00F849A0" w:rsidP="00F849A0">
      <w:pPr>
        <w:jc w:val="center"/>
      </w:pPr>
    </w:p>
    <w:p w14:paraId="0B438BFA" w14:textId="7D964923" w:rsidR="00F849A0" w:rsidRDefault="00F849A0" w:rsidP="00F849A0">
      <w:pPr>
        <w:ind w:firstLine="360"/>
      </w:pPr>
      <w:r>
        <w:t xml:space="preserve">These notes support a review of the first two of the Universal Wholesome Cetasikas, categories of mind conditioning factors that are active in every moment of consciousness that is not afflicted with dukkha, </w:t>
      </w:r>
      <w:proofErr w:type="gramStart"/>
      <w:r>
        <w:t>distress</w:t>
      </w:r>
      <w:proofErr w:type="gramEnd"/>
      <w:r>
        <w:t xml:space="preserve"> and confusion.  </w:t>
      </w:r>
      <w:proofErr w:type="spellStart"/>
      <w:r>
        <w:t>The</w:t>
      </w:r>
      <w:proofErr w:type="spellEnd"/>
      <w:r w:rsidR="00CE7506">
        <w:t xml:space="preserve"> topic for this review involves the first two of the list, </w:t>
      </w:r>
      <w:proofErr w:type="gramStart"/>
      <w:r w:rsidR="00CE7506">
        <w:t>mindfulness</w:t>
      </w:r>
      <w:proofErr w:type="gramEnd"/>
      <w:r w:rsidR="00CE7506">
        <w:t xml:space="preserve"> and confidence.  There</w:t>
      </w:r>
      <w:r>
        <w:t xml:space="preserve"> are seven of these cetasikas: Confidence, Mindfulness, Fear of Shame, Respect </w:t>
      </w:r>
      <w:r w:rsidR="00CE7506">
        <w:t>f</w:t>
      </w:r>
      <w:r>
        <w:t>or Consequences (</w:t>
      </w:r>
      <w:r w:rsidR="00CE7506">
        <w:t xml:space="preserve">respect for </w:t>
      </w:r>
      <w:r>
        <w:t>Karma), Non-Attachment, Non-Aversion, and Equanimity/Balance.  The factors other than Confidence and Mindfulness will be reviewed during future talks</w:t>
      </w:r>
      <w:r w:rsidR="00716C07">
        <w:t>, and the review will begin with Mindfulness, even though confidence is the first on the list of this category, as it is the primary “guardian of wholesomeness”, that is, all the other cetasikas cannot function without mindfulness</w:t>
      </w:r>
      <w:r>
        <w:t>.</w:t>
      </w:r>
    </w:p>
    <w:p w14:paraId="61B95BE8" w14:textId="1F07CE04" w:rsidR="00F849A0" w:rsidRDefault="00F849A0" w:rsidP="00F849A0"/>
    <w:p w14:paraId="0977372A" w14:textId="5829D341" w:rsidR="00F849A0" w:rsidRDefault="00716C07" w:rsidP="00F849A0">
      <w:r w:rsidRPr="00E32471">
        <w:rPr>
          <w:b/>
          <w:bCs/>
        </w:rPr>
        <w:t>Mindfulness</w:t>
      </w:r>
      <w:r>
        <w:t>:  The Pali word for this characteristic is sati (</w:t>
      </w:r>
      <w:proofErr w:type="spellStart"/>
      <w:r>
        <w:t>sah</w:t>
      </w:r>
      <w:proofErr w:type="spellEnd"/>
      <w:r>
        <w:t>-tee), and it is described in the classic Theravada commentaries in this way:</w:t>
      </w:r>
    </w:p>
    <w:p w14:paraId="579A372F" w14:textId="5243E65B" w:rsidR="00716C07" w:rsidRDefault="00716C07" w:rsidP="00F849A0"/>
    <w:p w14:paraId="11E91A90" w14:textId="526C214B" w:rsidR="00716C07" w:rsidRPr="00716C07" w:rsidRDefault="00716C07" w:rsidP="00716C07">
      <w:pPr>
        <w:autoSpaceDE w:val="0"/>
        <w:autoSpaceDN w:val="0"/>
        <w:adjustRightInd w:val="0"/>
        <w:ind w:left="720" w:right="720"/>
        <w:rPr>
          <w:rFonts w:cstheme="minorHAnsi"/>
        </w:rPr>
      </w:pPr>
      <w:r w:rsidRPr="00716C07">
        <w:rPr>
          <w:rFonts w:cstheme="minorHAnsi"/>
          <w:sz w:val="20"/>
          <w:szCs w:val="20"/>
        </w:rPr>
        <w:t xml:space="preserve">. . . Mindfulness has “not floating away” as its characteristic, </w:t>
      </w:r>
      <w:proofErr w:type="spellStart"/>
      <w:r w:rsidRPr="00716C07">
        <w:rPr>
          <w:rFonts w:cstheme="minorHAnsi"/>
          <w:sz w:val="20"/>
          <w:szCs w:val="20"/>
        </w:rPr>
        <w:t>unforgetfulness</w:t>
      </w:r>
      <w:proofErr w:type="spellEnd"/>
      <w:r>
        <w:rPr>
          <w:rFonts w:cstheme="minorHAnsi"/>
          <w:sz w:val="20"/>
          <w:szCs w:val="20"/>
        </w:rPr>
        <w:t xml:space="preserve"> </w:t>
      </w:r>
      <w:r w:rsidRPr="00716C07">
        <w:rPr>
          <w:rFonts w:cstheme="minorHAnsi"/>
          <w:sz w:val="20"/>
          <w:szCs w:val="20"/>
        </w:rPr>
        <w:t>as its function, guarding, or the state of facing the object, as its</w:t>
      </w:r>
      <w:r>
        <w:rPr>
          <w:rFonts w:cstheme="minorHAnsi"/>
          <w:sz w:val="20"/>
          <w:szCs w:val="20"/>
        </w:rPr>
        <w:t xml:space="preserve"> </w:t>
      </w:r>
      <w:r w:rsidRPr="00716C07">
        <w:rPr>
          <w:rFonts w:cstheme="minorHAnsi"/>
          <w:sz w:val="20"/>
          <w:szCs w:val="20"/>
        </w:rPr>
        <w:t xml:space="preserve">manifestation, firm remembrance (sanna) </w:t>
      </w:r>
      <w:r>
        <w:rPr>
          <w:rFonts w:cstheme="minorHAnsi"/>
          <w:sz w:val="20"/>
          <w:szCs w:val="20"/>
        </w:rPr>
        <w:t>[pronounced “</w:t>
      </w:r>
      <w:proofErr w:type="spellStart"/>
      <w:r>
        <w:rPr>
          <w:rFonts w:cstheme="minorHAnsi"/>
          <w:sz w:val="20"/>
          <w:szCs w:val="20"/>
        </w:rPr>
        <w:t>sahn</w:t>
      </w:r>
      <w:proofErr w:type="spellEnd"/>
      <w:r>
        <w:rPr>
          <w:rFonts w:cstheme="minorHAnsi"/>
          <w:sz w:val="20"/>
          <w:szCs w:val="20"/>
        </w:rPr>
        <w:t xml:space="preserve">-yah] </w:t>
      </w:r>
      <w:r w:rsidRPr="00716C07">
        <w:rPr>
          <w:rFonts w:cstheme="minorHAnsi"/>
          <w:sz w:val="20"/>
          <w:szCs w:val="20"/>
        </w:rPr>
        <w:t>or application in mindfulness</w:t>
      </w:r>
      <w:r>
        <w:rPr>
          <w:rFonts w:cstheme="minorHAnsi"/>
          <w:sz w:val="20"/>
          <w:szCs w:val="20"/>
        </w:rPr>
        <w:t xml:space="preserve"> </w:t>
      </w:r>
      <w:r w:rsidRPr="00716C07">
        <w:rPr>
          <w:rFonts w:cstheme="minorHAnsi"/>
          <w:sz w:val="20"/>
          <w:szCs w:val="20"/>
        </w:rPr>
        <w:t>as regards the body, etc. , as proximate cause. It should be regarded as</w:t>
      </w:r>
      <w:r>
        <w:rPr>
          <w:rFonts w:cstheme="minorHAnsi"/>
          <w:sz w:val="20"/>
          <w:szCs w:val="20"/>
        </w:rPr>
        <w:t xml:space="preserve"> </w:t>
      </w:r>
      <w:r w:rsidRPr="00716C07">
        <w:rPr>
          <w:rFonts w:cstheme="minorHAnsi"/>
          <w:sz w:val="20"/>
          <w:szCs w:val="20"/>
        </w:rPr>
        <w:t>a door-post f</w:t>
      </w:r>
      <w:r w:rsidR="00344038">
        <w:rPr>
          <w:rFonts w:cstheme="minorHAnsi"/>
          <w:sz w:val="20"/>
          <w:szCs w:val="20"/>
        </w:rPr>
        <w:t>or</w:t>
      </w:r>
      <w:r w:rsidRPr="00716C07">
        <w:rPr>
          <w:rFonts w:cstheme="minorHAnsi"/>
          <w:sz w:val="20"/>
          <w:szCs w:val="20"/>
        </w:rPr>
        <w:t xml:space="preserve"> being firmly established in the object, and as a doorkeeper</w:t>
      </w:r>
      <w:r>
        <w:rPr>
          <w:rFonts w:cstheme="minorHAnsi"/>
          <w:sz w:val="20"/>
          <w:szCs w:val="20"/>
        </w:rPr>
        <w:t xml:space="preserve"> </w:t>
      </w:r>
      <w:r w:rsidRPr="00716C07">
        <w:rPr>
          <w:rFonts w:cstheme="minorHAnsi"/>
          <w:sz w:val="20"/>
          <w:szCs w:val="20"/>
        </w:rPr>
        <w:t>f</w:t>
      </w:r>
      <w:r w:rsidR="00344038">
        <w:rPr>
          <w:rFonts w:cstheme="minorHAnsi"/>
          <w:sz w:val="20"/>
          <w:szCs w:val="20"/>
        </w:rPr>
        <w:t>or</w:t>
      </w:r>
      <w:r w:rsidRPr="00716C07">
        <w:rPr>
          <w:rFonts w:cstheme="minorHAnsi"/>
          <w:sz w:val="20"/>
          <w:szCs w:val="20"/>
        </w:rPr>
        <w:t xml:space="preserve"> guarding the door of the senses.</w:t>
      </w:r>
    </w:p>
    <w:p w14:paraId="69896AF2" w14:textId="139BEF6D" w:rsidR="00F849A0" w:rsidRDefault="00F849A0" w:rsidP="00F849A0">
      <w:pPr>
        <w:ind w:firstLine="360"/>
      </w:pPr>
    </w:p>
    <w:p w14:paraId="571E4680" w14:textId="08A642D4" w:rsidR="00CE7506" w:rsidRDefault="00716C07" w:rsidP="00F849A0">
      <w:pPr>
        <w:ind w:firstLine="360"/>
      </w:pPr>
      <w:r>
        <w:t>During the era of the historical Buddha, sati was regarded as the ability to accurately and reliably recall the words and ritual actions associated with the dominant Brahman religion.</w:t>
      </w:r>
      <w:r w:rsidR="00E32471">
        <w:t xml:space="preserve">  It was assumed that when these procedures were performed perfectly, the spiritual benefits must be made manifest.  As was the case with many </w:t>
      </w:r>
      <w:proofErr w:type="gramStart"/>
      <w:r w:rsidR="00E32471">
        <w:t>terms</w:t>
      </w:r>
      <w:proofErr w:type="gramEnd"/>
      <w:r w:rsidR="00E32471">
        <w:t xml:space="preserve"> contemporary to the Buddha, sati was repurposed and related to the ability to accurately and reliably recall the principles and practices that would realize the potential of the Four Noble Truths.  This is reflected in that Right Mindfulness is found in the Noble Eightfold Path, the Fourth Noble Truth.</w:t>
      </w:r>
      <w:r w:rsidR="00CE7506">
        <w:t xml:space="preserve">  Mindfulness is also considered to be the “chief minister” of the Seven Awakening Factors in that its function is to “not forget” to monitor the interactive dynamics of the other six factors.</w:t>
      </w:r>
    </w:p>
    <w:p w14:paraId="252DB978" w14:textId="663100D7" w:rsidR="00E32471" w:rsidRDefault="00E32471" w:rsidP="00F849A0">
      <w:pPr>
        <w:ind w:firstLine="360"/>
      </w:pPr>
    </w:p>
    <w:p w14:paraId="00FA268E" w14:textId="52CCDAE8" w:rsidR="00E32471" w:rsidRDefault="00E32471" w:rsidP="00F849A0">
      <w:pPr>
        <w:ind w:firstLine="360"/>
      </w:pPr>
      <w:r>
        <w:t xml:space="preserve">This remembrance is embedded in </w:t>
      </w:r>
      <w:r w:rsidRPr="00E32471">
        <w:rPr>
          <w:i/>
          <w:iCs/>
        </w:rPr>
        <w:t>sanna</w:t>
      </w:r>
      <w:r>
        <w:t xml:space="preserve">—although it is termed as the application of mindfulness regarding the body, etc., the actual translation of the term is </w:t>
      </w:r>
      <w:r w:rsidRPr="00E32471">
        <w:rPr>
          <w:i/>
          <w:iCs/>
        </w:rPr>
        <w:t>perception</w:t>
      </w:r>
      <w:r>
        <w:t>, the ability of trained attention to perceive what is in awareness as transient, provisional, interdependent</w:t>
      </w:r>
      <w:r w:rsidR="00CE7506">
        <w:t>,</w:t>
      </w:r>
      <w:r>
        <w:t xml:space="preserve"> non-self</w:t>
      </w:r>
      <w:r w:rsidR="00CE7506">
        <w:t xml:space="preserve"> and subject to karmic consequences</w:t>
      </w:r>
      <w:r>
        <w:t xml:space="preserve">.  This skillful perceptual process monitors how the mind makes meaning from what the body senses, a process called </w:t>
      </w:r>
      <w:r w:rsidRPr="0076675A">
        <w:rPr>
          <w:i/>
          <w:iCs/>
        </w:rPr>
        <w:t>namarupa</w:t>
      </w:r>
      <w:r w:rsidR="0076675A" w:rsidRPr="0076675A">
        <w:rPr>
          <w:i/>
          <w:iCs/>
        </w:rPr>
        <w:t xml:space="preserve"> </w:t>
      </w:r>
      <w:r w:rsidR="0076675A">
        <w:t>(nah-</w:t>
      </w:r>
      <w:proofErr w:type="spellStart"/>
      <w:r w:rsidR="0076675A">
        <w:t>mah</w:t>
      </w:r>
      <w:proofErr w:type="spellEnd"/>
      <w:r w:rsidR="0076675A">
        <w:t>-</w:t>
      </w:r>
      <w:proofErr w:type="spellStart"/>
      <w:r w:rsidR="0076675A">
        <w:t>roo-pah</w:t>
      </w:r>
      <w:proofErr w:type="spellEnd"/>
      <w:r w:rsidR="0076675A">
        <w:t>)</w:t>
      </w:r>
      <w:r>
        <w:t xml:space="preserve">, with </w:t>
      </w:r>
      <w:r w:rsidRPr="0076675A">
        <w:rPr>
          <w:i/>
          <w:iCs/>
        </w:rPr>
        <w:t>nama</w:t>
      </w:r>
      <w:r>
        <w:t xml:space="preserve"> describing </w:t>
      </w:r>
      <w:r w:rsidRPr="0076675A">
        <w:rPr>
          <w:i/>
          <w:iCs/>
        </w:rPr>
        <w:t>the action of mind conditioning factors</w:t>
      </w:r>
      <w:r>
        <w:t xml:space="preserve"> and </w:t>
      </w:r>
      <w:r w:rsidRPr="0076675A">
        <w:rPr>
          <w:i/>
          <w:iCs/>
        </w:rPr>
        <w:t>rupa</w:t>
      </w:r>
      <w:r>
        <w:t xml:space="preserve"> representing </w:t>
      </w:r>
      <w:r w:rsidRPr="0076675A">
        <w:rPr>
          <w:i/>
          <w:iCs/>
        </w:rPr>
        <w:t>the sensations that occur</w:t>
      </w:r>
      <w:r w:rsidR="0076675A">
        <w:rPr>
          <w:i/>
          <w:iCs/>
        </w:rPr>
        <w:t xml:space="preserve"> in the body</w:t>
      </w:r>
      <w:r w:rsidRPr="0076675A">
        <w:rPr>
          <w:i/>
          <w:iCs/>
        </w:rPr>
        <w:t xml:space="preserve"> during life experience</w:t>
      </w:r>
      <w:r>
        <w:t>.</w:t>
      </w:r>
    </w:p>
    <w:p w14:paraId="7F02B60A" w14:textId="260E882F" w:rsidR="00E32471" w:rsidRDefault="00E32471" w:rsidP="00F849A0">
      <w:pPr>
        <w:ind w:firstLine="360"/>
      </w:pPr>
    </w:p>
    <w:p w14:paraId="168B31F1" w14:textId="72B6F169" w:rsidR="00E32471" w:rsidRDefault="00E32471" w:rsidP="00F849A0">
      <w:pPr>
        <w:ind w:firstLine="360"/>
        <w:rPr>
          <w:rFonts w:cstheme="minorHAnsi"/>
          <w:sz w:val="20"/>
          <w:szCs w:val="20"/>
        </w:rPr>
      </w:pPr>
      <w:r>
        <w:t xml:space="preserve">Mindfulness of breathing is the primary </w:t>
      </w:r>
      <w:r w:rsidR="00CE7506">
        <w:t xml:space="preserve">practice </w:t>
      </w:r>
      <w:r>
        <w:t xml:space="preserve">application of sati and is termed </w:t>
      </w:r>
      <w:r w:rsidRPr="0076675A">
        <w:rPr>
          <w:i/>
          <w:iCs/>
        </w:rPr>
        <w:t xml:space="preserve">anapanasati </w:t>
      </w:r>
      <w:r>
        <w:t>(ah-nah-</w:t>
      </w:r>
      <w:proofErr w:type="spellStart"/>
      <w:r>
        <w:t>pah</w:t>
      </w:r>
      <w:proofErr w:type="spellEnd"/>
      <w:r>
        <w:t>-nah-</w:t>
      </w:r>
      <w:proofErr w:type="spellStart"/>
      <w:r w:rsidR="0076675A">
        <w:t>sah</w:t>
      </w:r>
      <w:proofErr w:type="spellEnd"/>
      <w:r w:rsidR="0076675A">
        <w:t>-tee)</w:t>
      </w:r>
      <w:r>
        <w:t xml:space="preserve">, </w:t>
      </w:r>
      <w:r w:rsidRPr="0076675A">
        <w:rPr>
          <w:i/>
          <w:iCs/>
        </w:rPr>
        <w:t>mindfulness while breathing in and out</w:t>
      </w:r>
      <w:r>
        <w:t xml:space="preserve">.  </w:t>
      </w:r>
      <w:r w:rsidR="00CE7506">
        <w:t xml:space="preserve">in practice, we intentionally direct attention to the sensations noticeable at the beginning of the in-breath and through the duration of the in-breath, then repeat that intentional attention for the out-breath.  </w:t>
      </w:r>
      <w:r w:rsidR="0076675A">
        <w:t xml:space="preserve">The sensations are rupa and clear awareness of them is nama.  Careful attention to the breathing sensations does not necessarily initiate internal narratives; there is simply a perception of the sensations in awareness.  The sensations of breathing are primarily neutral in feeling tone, neither pleasant </w:t>
      </w:r>
      <w:r w:rsidR="00CE7506">
        <w:t>nor</w:t>
      </w:r>
      <w:r w:rsidR="0076675A">
        <w:t xml:space="preserve"> unpleasant.  This neutrality induces calmness in the body—the combination of the two manifests as a peaceful mind that is not caught up in the selfing story.  This is reflected in the above quote: “</w:t>
      </w:r>
      <w:r w:rsidR="0076675A" w:rsidRPr="00716C07">
        <w:rPr>
          <w:rFonts w:cstheme="minorHAnsi"/>
          <w:sz w:val="20"/>
          <w:szCs w:val="20"/>
        </w:rPr>
        <w:t>It should be regarded as</w:t>
      </w:r>
      <w:r w:rsidR="0076675A">
        <w:rPr>
          <w:rFonts w:cstheme="minorHAnsi"/>
          <w:sz w:val="20"/>
          <w:szCs w:val="20"/>
        </w:rPr>
        <w:t xml:space="preserve"> </w:t>
      </w:r>
      <w:r w:rsidR="0076675A" w:rsidRPr="00716C07">
        <w:rPr>
          <w:rFonts w:cstheme="minorHAnsi"/>
          <w:sz w:val="20"/>
          <w:szCs w:val="20"/>
        </w:rPr>
        <w:t>a door-post f</w:t>
      </w:r>
      <w:r w:rsidR="00344038">
        <w:rPr>
          <w:rFonts w:cstheme="minorHAnsi"/>
          <w:sz w:val="20"/>
          <w:szCs w:val="20"/>
        </w:rPr>
        <w:t xml:space="preserve">or </w:t>
      </w:r>
      <w:r w:rsidR="0076675A" w:rsidRPr="00716C07">
        <w:rPr>
          <w:rFonts w:cstheme="minorHAnsi"/>
          <w:sz w:val="20"/>
          <w:szCs w:val="20"/>
        </w:rPr>
        <w:t>being firmly established in the object, and as a doorkeeper</w:t>
      </w:r>
      <w:r w:rsidR="0076675A">
        <w:rPr>
          <w:rFonts w:cstheme="minorHAnsi"/>
          <w:sz w:val="20"/>
          <w:szCs w:val="20"/>
        </w:rPr>
        <w:t xml:space="preserve"> </w:t>
      </w:r>
      <w:r w:rsidR="0076675A" w:rsidRPr="00716C07">
        <w:rPr>
          <w:rFonts w:cstheme="minorHAnsi"/>
          <w:sz w:val="20"/>
          <w:szCs w:val="20"/>
        </w:rPr>
        <w:t>f</w:t>
      </w:r>
      <w:r w:rsidR="00CE7506">
        <w:rPr>
          <w:rFonts w:cstheme="minorHAnsi"/>
          <w:sz w:val="20"/>
          <w:szCs w:val="20"/>
        </w:rPr>
        <w:t>or</w:t>
      </w:r>
      <w:r w:rsidR="0076675A" w:rsidRPr="00716C07">
        <w:rPr>
          <w:rFonts w:cstheme="minorHAnsi"/>
          <w:sz w:val="20"/>
          <w:szCs w:val="20"/>
        </w:rPr>
        <w:t xml:space="preserve"> guarding the door of the senses.</w:t>
      </w:r>
      <w:r w:rsidR="0076675A">
        <w:rPr>
          <w:rFonts w:cstheme="minorHAnsi"/>
          <w:sz w:val="20"/>
          <w:szCs w:val="20"/>
        </w:rPr>
        <w:t>”</w:t>
      </w:r>
    </w:p>
    <w:p w14:paraId="7062B307" w14:textId="157B13AC" w:rsidR="0076675A" w:rsidRDefault="0076675A" w:rsidP="00F849A0">
      <w:pPr>
        <w:ind w:firstLine="360"/>
        <w:rPr>
          <w:rFonts w:cstheme="minorHAnsi"/>
          <w:sz w:val="20"/>
          <w:szCs w:val="20"/>
        </w:rPr>
      </w:pPr>
    </w:p>
    <w:p w14:paraId="2DAE7857" w14:textId="3CC38B23" w:rsidR="0076675A" w:rsidRDefault="0076675A" w:rsidP="00F849A0">
      <w:pPr>
        <w:ind w:firstLine="360"/>
        <w:rPr>
          <w:rFonts w:cstheme="minorHAnsi"/>
          <w:sz w:val="20"/>
          <w:szCs w:val="20"/>
        </w:rPr>
      </w:pPr>
      <w:r>
        <w:rPr>
          <w:rFonts w:cstheme="minorHAnsi"/>
          <w:sz w:val="20"/>
          <w:szCs w:val="20"/>
        </w:rPr>
        <w:t>“…being firmly established in the object</w:t>
      </w:r>
      <w:r w:rsidR="00344038">
        <w:rPr>
          <w:rFonts w:cstheme="minorHAnsi"/>
          <w:sz w:val="20"/>
          <w:szCs w:val="20"/>
        </w:rPr>
        <w:t>” means persistently undistracted awareness, that is, present-moment awareness unaffected by craving and clinging</w:t>
      </w:r>
      <w:r w:rsidR="00CE7506">
        <w:rPr>
          <w:rFonts w:cstheme="minorHAnsi"/>
          <w:sz w:val="20"/>
          <w:szCs w:val="20"/>
        </w:rPr>
        <w:t>—the object is not external, but the subjective characteristics of the mind</w:t>
      </w:r>
      <w:r w:rsidR="00344038">
        <w:rPr>
          <w:rFonts w:cstheme="minorHAnsi"/>
          <w:sz w:val="20"/>
          <w:szCs w:val="20"/>
        </w:rPr>
        <w:t xml:space="preserve">.  “…for guarding the door of the senses” means being clearly aware of the transition between rupa and nama.  A term that is often found in the teachings is </w:t>
      </w:r>
      <w:r w:rsidR="00344038" w:rsidRPr="00344038">
        <w:rPr>
          <w:rFonts w:cstheme="minorHAnsi"/>
          <w:i/>
          <w:iCs/>
          <w:sz w:val="20"/>
          <w:szCs w:val="20"/>
        </w:rPr>
        <w:t>sati sampajanna</w:t>
      </w:r>
      <w:r w:rsidR="00344038">
        <w:rPr>
          <w:rFonts w:cstheme="minorHAnsi"/>
          <w:sz w:val="20"/>
          <w:szCs w:val="20"/>
        </w:rPr>
        <w:t xml:space="preserve"> (</w:t>
      </w:r>
      <w:proofErr w:type="spellStart"/>
      <w:r w:rsidR="00344038">
        <w:rPr>
          <w:rFonts w:cstheme="minorHAnsi"/>
          <w:sz w:val="20"/>
          <w:szCs w:val="20"/>
        </w:rPr>
        <w:t>sah</w:t>
      </w:r>
      <w:proofErr w:type="spellEnd"/>
      <w:r w:rsidR="00344038">
        <w:rPr>
          <w:rFonts w:cstheme="minorHAnsi"/>
          <w:sz w:val="20"/>
          <w:szCs w:val="20"/>
        </w:rPr>
        <w:t xml:space="preserve">-tee </w:t>
      </w:r>
      <w:proofErr w:type="spellStart"/>
      <w:r w:rsidR="00344038">
        <w:rPr>
          <w:rFonts w:cstheme="minorHAnsi"/>
          <w:sz w:val="20"/>
          <w:szCs w:val="20"/>
        </w:rPr>
        <w:t>sahm</w:t>
      </w:r>
      <w:proofErr w:type="spellEnd"/>
      <w:r w:rsidR="00344038">
        <w:rPr>
          <w:rFonts w:cstheme="minorHAnsi"/>
          <w:sz w:val="20"/>
          <w:szCs w:val="20"/>
        </w:rPr>
        <w:t>-</w:t>
      </w:r>
      <w:proofErr w:type="spellStart"/>
      <w:r w:rsidR="00344038">
        <w:rPr>
          <w:rFonts w:cstheme="minorHAnsi"/>
          <w:sz w:val="20"/>
          <w:szCs w:val="20"/>
        </w:rPr>
        <w:t>puh</w:t>
      </w:r>
      <w:proofErr w:type="spellEnd"/>
      <w:r w:rsidR="00344038">
        <w:rPr>
          <w:rFonts w:cstheme="minorHAnsi"/>
          <w:sz w:val="20"/>
          <w:szCs w:val="20"/>
        </w:rPr>
        <w:t>-</w:t>
      </w:r>
      <w:proofErr w:type="spellStart"/>
      <w:r w:rsidR="00344038">
        <w:rPr>
          <w:rFonts w:cstheme="minorHAnsi"/>
          <w:sz w:val="20"/>
          <w:szCs w:val="20"/>
        </w:rPr>
        <w:t>jahn</w:t>
      </w:r>
      <w:proofErr w:type="spellEnd"/>
      <w:r w:rsidR="00344038">
        <w:rPr>
          <w:rFonts w:cstheme="minorHAnsi"/>
          <w:sz w:val="20"/>
          <w:szCs w:val="20"/>
        </w:rPr>
        <w:t xml:space="preserve">-yah), translated as </w:t>
      </w:r>
      <w:r w:rsidR="00344038" w:rsidRPr="00344038">
        <w:rPr>
          <w:rFonts w:cstheme="minorHAnsi"/>
          <w:i/>
          <w:iCs/>
          <w:sz w:val="20"/>
          <w:szCs w:val="20"/>
        </w:rPr>
        <w:t>mindful clear comprehension</w:t>
      </w:r>
      <w:r w:rsidR="00344038">
        <w:rPr>
          <w:rFonts w:cstheme="minorHAnsi"/>
          <w:sz w:val="20"/>
          <w:szCs w:val="20"/>
        </w:rPr>
        <w:t xml:space="preserve">, and that is what is being described here.  </w:t>
      </w:r>
    </w:p>
    <w:p w14:paraId="5A4542A1" w14:textId="2E19F501" w:rsidR="00344038" w:rsidRDefault="00344038" w:rsidP="00344038">
      <w:pPr>
        <w:rPr>
          <w:rFonts w:cstheme="minorHAnsi"/>
          <w:sz w:val="20"/>
          <w:szCs w:val="20"/>
        </w:rPr>
      </w:pPr>
    </w:p>
    <w:p w14:paraId="0F1D9323" w14:textId="7D83649B" w:rsidR="004B3A9B" w:rsidRDefault="00344038" w:rsidP="00344038">
      <w:pPr>
        <w:rPr>
          <w:rFonts w:cstheme="minorHAnsi"/>
          <w:sz w:val="20"/>
          <w:szCs w:val="20"/>
        </w:rPr>
      </w:pPr>
      <w:r w:rsidRPr="00126D86">
        <w:rPr>
          <w:rFonts w:cstheme="minorHAnsi"/>
          <w:b/>
          <w:bCs/>
        </w:rPr>
        <w:t>Confidence</w:t>
      </w:r>
      <w:r w:rsidRPr="00126D86">
        <w:rPr>
          <w:rFonts w:cstheme="minorHAnsi"/>
        </w:rPr>
        <w:t xml:space="preserve">:  The Pali word here is </w:t>
      </w:r>
      <w:r w:rsidRPr="00126D86">
        <w:rPr>
          <w:rFonts w:cstheme="minorHAnsi"/>
          <w:i/>
          <w:iCs/>
        </w:rPr>
        <w:t>saddha</w:t>
      </w:r>
      <w:r w:rsidRPr="00126D86">
        <w:rPr>
          <w:rFonts w:cstheme="minorHAnsi"/>
        </w:rPr>
        <w:t xml:space="preserve"> (</w:t>
      </w:r>
      <w:proofErr w:type="spellStart"/>
      <w:r w:rsidRPr="00126D86">
        <w:rPr>
          <w:rFonts w:cstheme="minorHAnsi"/>
        </w:rPr>
        <w:t>sah</w:t>
      </w:r>
      <w:proofErr w:type="spellEnd"/>
      <w:r w:rsidRPr="00126D86">
        <w:rPr>
          <w:rFonts w:cstheme="minorHAnsi"/>
        </w:rPr>
        <w:t xml:space="preserve">-dah) and can also be translated as </w:t>
      </w:r>
      <w:r w:rsidRPr="00126D86">
        <w:rPr>
          <w:rFonts w:cstheme="minorHAnsi"/>
          <w:i/>
          <w:iCs/>
        </w:rPr>
        <w:t>faith</w:t>
      </w:r>
      <w:r w:rsidRPr="00126D86">
        <w:rPr>
          <w:rFonts w:cstheme="minorHAnsi"/>
        </w:rPr>
        <w:t xml:space="preserve">.  </w:t>
      </w:r>
      <w:r w:rsidR="00A8618C" w:rsidRPr="00126D86">
        <w:rPr>
          <w:rFonts w:cstheme="minorHAnsi"/>
        </w:rPr>
        <w:t>There are different levels of understanding that are associated with confidence:  Confidence by logic refers to having confidence that something will work conceptually—you read about it and it seems to be reasonable.  The weakness of this level is that the reasoning may be based on inadequate or false information.  Confidence by example refers to being inspired and assured by the comments and behaviors of a person who is reputed to be reliably capable of manifesting the desired understanding</w:t>
      </w:r>
      <w:r w:rsidR="004B3A9B" w:rsidRPr="00126D86">
        <w:rPr>
          <w:rFonts w:cstheme="minorHAnsi"/>
        </w:rPr>
        <w:t xml:space="preserve"> </w:t>
      </w:r>
      <w:r w:rsidR="004B3A9B" w:rsidRPr="00126D86">
        <w:rPr>
          <w:rFonts w:cstheme="minorHAnsi"/>
        </w:rPr>
        <w:lastRenderedPageBreak/>
        <w:t>and capability</w:t>
      </w:r>
      <w:r w:rsidR="00A8618C" w:rsidRPr="00126D86">
        <w:rPr>
          <w:rFonts w:cstheme="minorHAnsi"/>
        </w:rPr>
        <w:t>.  The weakness of this level is that the person may be delusional or deceitful.  Even if that person truly represents that wisdom, your ability to realize it is still just conceptual, although inspiring determined effort.  The strongest level of confidence is through direct affirmative experience that is not delusional or pretentious; I call this the “ah-hah! moment”.</w:t>
      </w:r>
      <w:r w:rsidR="004B3A9B" w:rsidRPr="00126D86">
        <w:rPr>
          <w:rFonts w:cstheme="minorHAnsi"/>
        </w:rPr>
        <w:t xml:space="preserve">  Buddhism is based on direct experiential confirmation.  This expectation is described in an excerpt from the Kalama Sutta (translation by Thanissaro):</w:t>
      </w:r>
    </w:p>
    <w:p w14:paraId="34B77BA1" w14:textId="7E0EA9EC" w:rsidR="004B3A9B" w:rsidRDefault="004B3A9B" w:rsidP="00344038">
      <w:pPr>
        <w:rPr>
          <w:rFonts w:cstheme="minorHAnsi"/>
          <w:sz w:val="20"/>
          <w:szCs w:val="20"/>
        </w:rPr>
      </w:pPr>
    </w:p>
    <w:p w14:paraId="5766D0F1" w14:textId="77777777" w:rsidR="004B3A9B" w:rsidRPr="004B3A9B" w:rsidRDefault="004B3A9B" w:rsidP="004B3A9B">
      <w:pPr>
        <w:pStyle w:val="NormalWeb"/>
        <w:ind w:left="720" w:right="720"/>
        <w:rPr>
          <w:rFonts w:asciiTheme="minorHAnsi" w:hAnsiTheme="minorHAnsi" w:cstheme="minorHAnsi"/>
          <w:sz w:val="20"/>
          <w:szCs w:val="20"/>
        </w:rPr>
      </w:pPr>
      <w:r w:rsidRPr="004B3A9B">
        <w:rPr>
          <w:rFonts w:asciiTheme="minorHAnsi" w:hAnsiTheme="minorHAnsi" w:cstheme="minorHAnsi"/>
          <w:sz w:val="20"/>
          <w:szCs w:val="20"/>
        </w:rPr>
        <w:t xml:space="preserve">As they were sitting there, the </w:t>
      </w:r>
      <w:proofErr w:type="spellStart"/>
      <w:r w:rsidRPr="004B3A9B">
        <w:rPr>
          <w:rFonts w:asciiTheme="minorHAnsi" w:hAnsiTheme="minorHAnsi" w:cstheme="minorHAnsi"/>
          <w:sz w:val="20"/>
          <w:szCs w:val="20"/>
        </w:rPr>
        <w:t>Kālāmas</w:t>
      </w:r>
      <w:proofErr w:type="spellEnd"/>
      <w:r w:rsidRPr="004B3A9B">
        <w:rPr>
          <w:rFonts w:asciiTheme="minorHAnsi" w:hAnsiTheme="minorHAnsi" w:cstheme="minorHAnsi"/>
          <w:sz w:val="20"/>
          <w:szCs w:val="20"/>
        </w:rPr>
        <w:t xml:space="preserve"> of </w:t>
      </w:r>
      <w:proofErr w:type="spellStart"/>
      <w:r w:rsidRPr="004B3A9B">
        <w:rPr>
          <w:rFonts w:asciiTheme="minorHAnsi" w:hAnsiTheme="minorHAnsi" w:cstheme="minorHAnsi"/>
          <w:sz w:val="20"/>
          <w:szCs w:val="20"/>
        </w:rPr>
        <w:t>Kesaputta</w:t>
      </w:r>
      <w:proofErr w:type="spellEnd"/>
      <w:r w:rsidRPr="004B3A9B">
        <w:rPr>
          <w:rFonts w:asciiTheme="minorHAnsi" w:hAnsiTheme="minorHAnsi" w:cstheme="minorHAnsi"/>
          <w:sz w:val="20"/>
          <w:szCs w:val="20"/>
        </w:rPr>
        <w:t xml:space="preserve"> said to the Blessed One, “Lord, there are some contemplatives &amp; brahmans who come to </w:t>
      </w:r>
      <w:proofErr w:type="spellStart"/>
      <w:r w:rsidRPr="004B3A9B">
        <w:rPr>
          <w:rFonts w:asciiTheme="minorHAnsi" w:hAnsiTheme="minorHAnsi" w:cstheme="minorHAnsi"/>
          <w:sz w:val="20"/>
          <w:szCs w:val="20"/>
        </w:rPr>
        <w:t>Kesaputta</w:t>
      </w:r>
      <w:proofErr w:type="spellEnd"/>
      <w:r w:rsidRPr="004B3A9B">
        <w:rPr>
          <w:rFonts w:asciiTheme="minorHAnsi" w:hAnsiTheme="minorHAnsi" w:cstheme="minorHAnsi"/>
          <w:sz w:val="20"/>
          <w:szCs w:val="20"/>
        </w:rPr>
        <w:t xml:space="preserve">. They expound &amp; glorify their own doctrines, but as for the doctrines of others, they deprecate them, disparage them, show contempt for them, &amp; pull them to pieces. And then other contemplatives &amp; brahmans come to </w:t>
      </w:r>
      <w:proofErr w:type="spellStart"/>
      <w:r w:rsidRPr="004B3A9B">
        <w:rPr>
          <w:rFonts w:asciiTheme="minorHAnsi" w:hAnsiTheme="minorHAnsi" w:cstheme="minorHAnsi"/>
          <w:sz w:val="20"/>
          <w:szCs w:val="20"/>
        </w:rPr>
        <w:t>Kesaputta</w:t>
      </w:r>
      <w:proofErr w:type="spellEnd"/>
      <w:r w:rsidRPr="004B3A9B">
        <w:rPr>
          <w:rFonts w:asciiTheme="minorHAnsi" w:hAnsiTheme="minorHAnsi" w:cstheme="minorHAnsi"/>
          <w:sz w:val="20"/>
          <w:szCs w:val="20"/>
        </w:rPr>
        <w:t>. They expound &amp; glorify their own doctrines, but as for the doctrines of others, they deprecate them, disparage them, show contempt for them, &amp; pull them to pieces. They leave us absolutely uncertain &amp; in doubt: Which of these venerable contemplatives &amp; brahmans are speaking the truth, and which ones are lying?”</w:t>
      </w:r>
    </w:p>
    <w:p w14:paraId="1E6AA058" w14:textId="77777777" w:rsidR="004B3A9B" w:rsidRPr="004B3A9B" w:rsidRDefault="004B3A9B" w:rsidP="004B3A9B">
      <w:pPr>
        <w:pStyle w:val="NormalWeb"/>
        <w:ind w:left="720" w:right="720"/>
        <w:rPr>
          <w:rFonts w:asciiTheme="minorHAnsi" w:hAnsiTheme="minorHAnsi" w:cstheme="minorHAnsi"/>
          <w:sz w:val="20"/>
          <w:szCs w:val="20"/>
        </w:rPr>
      </w:pPr>
      <w:r w:rsidRPr="004B3A9B">
        <w:rPr>
          <w:rFonts w:asciiTheme="minorHAnsi" w:hAnsiTheme="minorHAnsi" w:cstheme="minorHAnsi"/>
          <w:sz w:val="20"/>
          <w:szCs w:val="20"/>
        </w:rPr>
        <w:t>“</w:t>
      </w:r>
      <w:proofErr w:type="gramStart"/>
      <w:r w:rsidRPr="004B3A9B">
        <w:rPr>
          <w:rFonts w:asciiTheme="minorHAnsi" w:hAnsiTheme="minorHAnsi" w:cstheme="minorHAnsi"/>
          <w:sz w:val="20"/>
          <w:szCs w:val="20"/>
        </w:rPr>
        <w:t>Of course</w:t>
      </w:r>
      <w:proofErr w:type="gramEnd"/>
      <w:r w:rsidRPr="004B3A9B">
        <w:rPr>
          <w:rFonts w:asciiTheme="minorHAnsi" w:hAnsiTheme="minorHAnsi" w:cstheme="minorHAnsi"/>
          <w:sz w:val="20"/>
          <w:szCs w:val="20"/>
        </w:rPr>
        <w:t xml:space="preserve"> you are uncertain, </w:t>
      </w:r>
      <w:proofErr w:type="spellStart"/>
      <w:r w:rsidRPr="004B3A9B">
        <w:rPr>
          <w:rFonts w:asciiTheme="minorHAnsi" w:hAnsiTheme="minorHAnsi" w:cstheme="minorHAnsi"/>
          <w:sz w:val="20"/>
          <w:szCs w:val="20"/>
        </w:rPr>
        <w:t>Kālāmas</w:t>
      </w:r>
      <w:proofErr w:type="spellEnd"/>
      <w:r w:rsidRPr="004B3A9B">
        <w:rPr>
          <w:rFonts w:asciiTheme="minorHAnsi" w:hAnsiTheme="minorHAnsi" w:cstheme="minorHAnsi"/>
          <w:sz w:val="20"/>
          <w:szCs w:val="20"/>
        </w:rPr>
        <w:t xml:space="preserve">. </w:t>
      </w:r>
      <w:proofErr w:type="gramStart"/>
      <w:r w:rsidRPr="004B3A9B">
        <w:rPr>
          <w:rFonts w:asciiTheme="minorHAnsi" w:hAnsiTheme="minorHAnsi" w:cstheme="minorHAnsi"/>
          <w:sz w:val="20"/>
          <w:szCs w:val="20"/>
        </w:rPr>
        <w:t>Of course</w:t>
      </w:r>
      <w:proofErr w:type="gramEnd"/>
      <w:r w:rsidRPr="004B3A9B">
        <w:rPr>
          <w:rFonts w:asciiTheme="minorHAnsi" w:hAnsiTheme="minorHAnsi" w:cstheme="minorHAnsi"/>
          <w:sz w:val="20"/>
          <w:szCs w:val="20"/>
        </w:rPr>
        <w:t xml:space="preserve"> you are in doubt. When there are reasons for doubt, uncertainty is born. So in this case, </w:t>
      </w:r>
      <w:proofErr w:type="spellStart"/>
      <w:r w:rsidRPr="004B3A9B">
        <w:rPr>
          <w:rFonts w:asciiTheme="minorHAnsi" w:hAnsiTheme="minorHAnsi" w:cstheme="minorHAnsi"/>
          <w:sz w:val="20"/>
          <w:szCs w:val="20"/>
        </w:rPr>
        <w:t>Kālāmas</w:t>
      </w:r>
      <w:proofErr w:type="spellEnd"/>
      <w:r w:rsidRPr="004B3A9B">
        <w:rPr>
          <w:rFonts w:asciiTheme="minorHAnsi" w:hAnsiTheme="minorHAnsi" w:cstheme="minorHAnsi"/>
          <w:sz w:val="20"/>
          <w:szCs w:val="20"/>
        </w:rPr>
        <w:t>, don’t go by reports, by legends, by traditions, by scripture, by logical conjecture, by inference, by analogies, by agreement through pondering views, by probability, or by the thought, ‘This contemplative is our teacher.’ When you know for yourselves that, ‘These qualities are unskillful; these qualities are blameworthy; these qualities are criticized by the observant; these qualities, when adopted &amp; carried out, lead to harm &amp; to suffering’—then you should abandon them.</w:t>
      </w:r>
    </w:p>
    <w:p w14:paraId="1CEF50B9" w14:textId="03CBC5D5" w:rsidR="00E07C30" w:rsidRPr="00126D86" w:rsidRDefault="00E07C30" w:rsidP="00E07C30">
      <w:pPr>
        <w:ind w:firstLine="360"/>
        <w:rPr>
          <w:rFonts w:cstheme="minorHAnsi"/>
        </w:rPr>
      </w:pPr>
      <w:r w:rsidRPr="00126D86">
        <w:rPr>
          <w:rFonts w:cstheme="minorHAnsi"/>
        </w:rPr>
        <w:t>A common feature of the Judeo-Christian-Islamic tradition builds on faith in God or Allah as an external being or force that we must believe in and submit our will to.  I think this is a misunderstanding of the core mystical practices of these traditions, and that careful reading of the mystics in those religions reveals that a person’s salvation does not depend upon the judgment or mercy of an external being but rather on one’s ability to live a moral and deeply contemplative life.</w:t>
      </w:r>
    </w:p>
    <w:p w14:paraId="6C0E2375" w14:textId="75734027" w:rsidR="00A8618C" w:rsidRPr="00126D86" w:rsidRDefault="00A8618C" w:rsidP="00344038">
      <w:pPr>
        <w:rPr>
          <w:rFonts w:cstheme="minorHAnsi"/>
        </w:rPr>
      </w:pPr>
    </w:p>
    <w:p w14:paraId="617113B9" w14:textId="7F5ECCF9" w:rsidR="00A8618C" w:rsidRPr="00126D86" w:rsidRDefault="00A8618C" w:rsidP="00A8618C">
      <w:pPr>
        <w:ind w:firstLine="360"/>
        <w:rPr>
          <w:rFonts w:cstheme="minorHAnsi"/>
        </w:rPr>
      </w:pPr>
      <w:r w:rsidRPr="00126D86">
        <w:rPr>
          <w:rFonts w:cstheme="minorHAnsi"/>
        </w:rPr>
        <w:t xml:space="preserve">A contemporary psychological term that is appropriate </w:t>
      </w:r>
      <w:r w:rsidR="00E07C30" w:rsidRPr="00126D86">
        <w:rPr>
          <w:rFonts w:cstheme="minorHAnsi"/>
        </w:rPr>
        <w:t xml:space="preserve">for this review </w:t>
      </w:r>
      <w:r w:rsidRPr="00126D86">
        <w:rPr>
          <w:rFonts w:cstheme="minorHAnsi"/>
        </w:rPr>
        <w:t xml:space="preserve">is </w:t>
      </w:r>
      <w:r w:rsidRPr="00126D86">
        <w:rPr>
          <w:rFonts w:cstheme="minorHAnsi"/>
          <w:i/>
          <w:iCs/>
        </w:rPr>
        <w:t>self-efficacy</w:t>
      </w:r>
      <w:r w:rsidRPr="00126D86">
        <w:rPr>
          <w:rFonts w:cstheme="minorHAnsi"/>
        </w:rPr>
        <w:t xml:space="preserve">, which </w:t>
      </w:r>
      <w:r w:rsidR="00E07C30" w:rsidRPr="00126D86">
        <w:rPr>
          <w:rFonts w:cstheme="minorHAnsi"/>
        </w:rPr>
        <w:t xml:space="preserve">manifests in terms of </w:t>
      </w:r>
      <w:r w:rsidR="00E07C30" w:rsidRPr="00126D86">
        <w:rPr>
          <w:rFonts w:cstheme="minorHAnsi"/>
          <w:i/>
          <w:iCs/>
        </w:rPr>
        <w:t>a person’s belief that they can be successful in a particular way</w:t>
      </w:r>
      <w:r w:rsidR="00E07C30" w:rsidRPr="00126D86">
        <w:rPr>
          <w:rFonts w:cstheme="minorHAnsi"/>
        </w:rPr>
        <w:t>—a highly trained musician is confident of her or his ability to perform a musical piece well, and a socially successful person is confident that she or he can successfully enter a group of strangers without anxiety</w:t>
      </w:r>
      <w:r w:rsidR="004B3A9B" w:rsidRPr="00126D86">
        <w:rPr>
          <w:rFonts w:cstheme="minorHAnsi"/>
        </w:rPr>
        <w:t xml:space="preserve"> and mingle</w:t>
      </w:r>
      <w:r w:rsidR="00E07C30" w:rsidRPr="00126D86">
        <w:rPr>
          <w:rFonts w:cstheme="minorHAnsi"/>
        </w:rPr>
        <w:t>.  In the context of Buddhist Awakening practice, self-efficacy refers to the ability to sustain mindfulness effectively, to behave in morally appropriate ways and to understand at increasingly subtle levels the arising of craving and clinging without identifying with them or acting on them.</w:t>
      </w:r>
    </w:p>
    <w:p w14:paraId="72EA7C17" w14:textId="28A78680" w:rsidR="00126D86" w:rsidRPr="00126D86" w:rsidRDefault="00126D86" w:rsidP="00A8618C">
      <w:pPr>
        <w:ind w:firstLine="360"/>
        <w:rPr>
          <w:rFonts w:cstheme="minorHAnsi"/>
        </w:rPr>
      </w:pPr>
    </w:p>
    <w:p w14:paraId="3DDFB7FD" w14:textId="686DABB0" w:rsidR="00126D86" w:rsidRPr="00126D86" w:rsidRDefault="00126D86" w:rsidP="00A8618C">
      <w:pPr>
        <w:ind w:firstLine="360"/>
        <w:rPr>
          <w:sz w:val="24"/>
          <w:szCs w:val="24"/>
        </w:rPr>
      </w:pPr>
      <w:r w:rsidRPr="00126D86">
        <w:rPr>
          <w:rFonts w:cstheme="minorHAnsi"/>
        </w:rPr>
        <w:t>This ability supports realizing the goals set forth in the Seven Awakening Factors, mentioned above.  In my experience, the consistency and intentionality of my meditation practice over the years has cultivated a deep and abiding confidence that sustains my commitment to realizing the potential for Awakening, at least to the extent that I am less vulnerable to regrettable actions and more capable of beneficial actions.</w:t>
      </w:r>
    </w:p>
    <w:p w14:paraId="2D38F7FE" w14:textId="77777777" w:rsidR="00F849A0" w:rsidRDefault="00F849A0" w:rsidP="00F849A0">
      <w:pPr>
        <w:ind w:firstLine="360"/>
      </w:pPr>
    </w:p>
    <w:sectPr w:rsidR="00F849A0" w:rsidSect="00F849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A0"/>
    <w:rsid w:val="00126D86"/>
    <w:rsid w:val="00344038"/>
    <w:rsid w:val="004B3A9B"/>
    <w:rsid w:val="00716C07"/>
    <w:rsid w:val="0076675A"/>
    <w:rsid w:val="00790393"/>
    <w:rsid w:val="00A72E3A"/>
    <w:rsid w:val="00A8618C"/>
    <w:rsid w:val="00B75D07"/>
    <w:rsid w:val="00CE7506"/>
    <w:rsid w:val="00E07C30"/>
    <w:rsid w:val="00E32471"/>
    <w:rsid w:val="00F84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0281D"/>
  <w15:chartTrackingRefBased/>
  <w15:docId w15:val="{9117C749-8645-4AB7-9840-354895693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3A9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36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1766</TotalTime>
  <Pages>2</Pages>
  <Words>1261</Words>
  <Characters>7192</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2020-09-14T18:40:00Z</dcterms:created>
  <dcterms:modified xsi:type="dcterms:W3CDTF">2020-09-16T19:32:00Z</dcterms:modified>
</cp:coreProperties>
</file>