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721A" w14:textId="77777777" w:rsidR="00E65A11" w:rsidRDefault="00E65A11" w:rsidP="00E65A11">
      <w:pPr>
        <w:spacing w:after="0" w:line="240" w:lineRule="auto"/>
        <w:jc w:val="center"/>
        <w:rPr>
          <w:b/>
        </w:rPr>
      </w:pPr>
      <w:r>
        <w:rPr>
          <w:b/>
        </w:rPr>
        <w:t>SATTA SAMBOJJHANGA-THE SEVEN FACTORS FOR AWAKENING</w:t>
      </w:r>
    </w:p>
    <w:p w14:paraId="7E2434BF" w14:textId="77777777" w:rsidR="00E65A11" w:rsidRDefault="00E65A11" w:rsidP="00E65A11">
      <w:pPr>
        <w:spacing w:after="0" w:line="240" w:lineRule="auto"/>
        <w:jc w:val="center"/>
        <w:rPr>
          <w:b/>
        </w:rPr>
      </w:pPr>
      <w:r>
        <w:rPr>
          <w:b/>
        </w:rPr>
        <w:t>Part One</w:t>
      </w:r>
    </w:p>
    <w:p w14:paraId="4E087367" w14:textId="77777777" w:rsidR="00E65A11" w:rsidRDefault="00E65A11" w:rsidP="00E65A11">
      <w:pPr>
        <w:spacing w:after="0" w:line="240" w:lineRule="auto"/>
        <w:jc w:val="center"/>
        <w:rPr>
          <w:b/>
        </w:rPr>
      </w:pPr>
    </w:p>
    <w:p w14:paraId="3540258A" w14:textId="77777777" w:rsidR="00E65A11" w:rsidRPr="0094138B" w:rsidRDefault="00E65A11" w:rsidP="00E65A11">
      <w:pPr>
        <w:spacing w:after="0" w:line="240" w:lineRule="auto"/>
        <w:ind w:firstLine="360"/>
      </w:pPr>
      <w:r>
        <w:t xml:space="preserve">The seven factors for awakening are wholesome mind conditions that, when cultivated and brought to full potential, lead to </w:t>
      </w:r>
      <w:r w:rsidRPr="00E22197">
        <w:rPr>
          <w:i/>
          <w:iCs/>
        </w:rPr>
        <w:t>nibbana</w:t>
      </w:r>
      <w:r>
        <w:t xml:space="preserve"> (</w:t>
      </w:r>
      <w:proofErr w:type="spellStart"/>
      <w:r>
        <w:t>nih</w:t>
      </w:r>
      <w:proofErr w:type="spellEnd"/>
      <w:r>
        <w:t xml:space="preserve">-bah-nah), </w:t>
      </w:r>
      <w:r w:rsidRPr="00E22197">
        <w:rPr>
          <w:i/>
          <w:iCs/>
        </w:rPr>
        <w:t>nirvana</w:t>
      </w:r>
      <w:r>
        <w:t xml:space="preserve"> in Sanskrit.  These factors are found many times in different contexts throughout the Pali Canon, perhaps most significantly in the Satipatthana Sutta (sah-tee-pah-tah-nah </w:t>
      </w:r>
      <w:proofErr w:type="spellStart"/>
      <w:r>
        <w:t>soo</w:t>
      </w:r>
      <w:proofErr w:type="spellEnd"/>
      <w:r>
        <w:t xml:space="preserve">-tah), the Four Foundations of Mindfulness Discourse, and the Anapanasati Sutta (ah-nah-pah-nah-sah-tee </w:t>
      </w:r>
      <w:proofErr w:type="spellStart"/>
      <w:r>
        <w:t>soo</w:t>
      </w:r>
      <w:proofErr w:type="spellEnd"/>
      <w:r>
        <w:t xml:space="preserve">-tah), the Mindfulness of Breathing Discourse.  The word </w:t>
      </w:r>
      <w:proofErr w:type="spellStart"/>
      <w:r w:rsidRPr="0094138B">
        <w:rPr>
          <w:i/>
          <w:iCs/>
        </w:rPr>
        <w:t>satta</w:t>
      </w:r>
      <w:proofErr w:type="spellEnd"/>
      <w:r>
        <w:t xml:space="preserve"> (sah-tah) is translated as </w:t>
      </w:r>
      <w:r w:rsidRPr="0094138B">
        <w:rPr>
          <w:i/>
          <w:iCs/>
        </w:rPr>
        <w:t>seven</w:t>
      </w:r>
      <w:r>
        <w:t xml:space="preserve">, while </w:t>
      </w:r>
      <w:r>
        <w:rPr>
          <w:i/>
        </w:rPr>
        <w:t xml:space="preserve">bojjhanga </w:t>
      </w:r>
      <w:r>
        <w:rPr>
          <w:iCs/>
        </w:rPr>
        <w:t>(bow-</w:t>
      </w:r>
      <w:proofErr w:type="spellStart"/>
      <w:r>
        <w:rPr>
          <w:iCs/>
        </w:rPr>
        <w:t>jahn</w:t>
      </w:r>
      <w:proofErr w:type="spellEnd"/>
      <w:r>
        <w:rPr>
          <w:iCs/>
        </w:rPr>
        <w:t xml:space="preserve">-gah) </w:t>
      </w:r>
      <w:r>
        <w:t xml:space="preserve">combines two words: </w:t>
      </w:r>
      <w:r>
        <w:rPr>
          <w:i/>
        </w:rPr>
        <w:t xml:space="preserve">Bodhi </w:t>
      </w:r>
      <w:r>
        <w:rPr>
          <w:iCs/>
        </w:rPr>
        <w:t>(</w:t>
      </w:r>
      <w:proofErr w:type="spellStart"/>
      <w:r>
        <w:rPr>
          <w:iCs/>
        </w:rPr>
        <w:t>boh</w:t>
      </w:r>
      <w:proofErr w:type="spellEnd"/>
      <w:r>
        <w:rPr>
          <w:iCs/>
        </w:rPr>
        <w:t>-dee)</w:t>
      </w:r>
      <w:r>
        <w:rPr>
          <w:i/>
        </w:rPr>
        <w:t xml:space="preserve">, </w:t>
      </w:r>
      <w:r>
        <w:t xml:space="preserve">the </w:t>
      </w:r>
      <w:r w:rsidRPr="0094138B">
        <w:rPr>
          <w:i/>
          <w:iCs/>
        </w:rPr>
        <w:t>awakened process regarding life</w:t>
      </w:r>
      <w:r>
        <w:t xml:space="preserve">, and </w:t>
      </w:r>
      <w:proofErr w:type="spellStart"/>
      <w:r>
        <w:rPr>
          <w:i/>
        </w:rPr>
        <w:t>anga</w:t>
      </w:r>
      <w:proofErr w:type="spellEnd"/>
      <w:r>
        <w:rPr>
          <w:i/>
        </w:rPr>
        <w:t xml:space="preserve"> </w:t>
      </w:r>
      <w:r>
        <w:rPr>
          <w:iCs/>
        </w:rPr>
        <w:t>(</w:t>
      </w:r>
      <w:proofErr w:type="spellStart"/>
      <w:r>
        <w:rPr>
          <w:iCs/>
        </w:rPr>
        <w:t>ahn</w:t>
      </w:r>
      <w:proofErr w:type="spellEnd"/>
      <w:r>
        <w:rPr>
          <w:iCs/>
        </w:rPr>
        <w:t>-gah</w:t>
      </w:r>
      <w:r w:rsidRPr="0094138B">
        <w:rPr>
          <w:i/>
        </w:rPr>
        <w:t>), a causative factor</w:t>
      </w:r>
      <w:r>
        <w:t xml:space="preserve">.  I have been unable to find a translation for the prefix </w:t>
      </w:r>
      <w:proofErr w:type="spellStart"/>
      <w:r>
        <w:t>sam</w:t>
      </w:r>
      <w:proofErr w:type="spellEnd"/>
      <w:r>
        <w:t xml:space="preserve"> (</w:t>
      </w:r>
      <w:proofErr w:type="spellStart"/>
      <w:r>
        <w:t>sahm</w:t>
      </w:r>
      <w:proofErr w:type="spellEnd"/>
      <w:r>
        <w:t xml:space="preserve">).  Therefore, we can understand these terms to mean </w:t>
      </w:r>
      <w:r w:rsidRPr="0094138B">
        <w:rPr>
          <w:i/>
          <w:iCs/>
        </w:rPr>
        <w:t xml:space="preserve">the </w:t>
      </w:r>
      <w:r>
        <w:rPr>
          <w:i/>
          <w:iCs/>
        </w:rPr>
        <w:t xml:space="preserve">seven </w:t>
      </w:r>
      <w:r w:rsidRPr="0094138B">
        <w:rPr>
          <w:i/>
          <w:iCs/>
        </w:rPr>
        <w:t>factors that cause awakening.</w:t>
      </w:r>
      <w:r>
        <w:t xml:space="preserve">  They represent the level of consciousness that functions when the hindrances are disabled.  They are not “inventions” created by the Buddha, but qualities inherent in the functions of the human mind.  The ability to be immediately aware of each as a function, cooperating with the other Awakening Factors, is a primary goal of vipassana (vih-pah-sah-nah) practice, which is direct subjective insight into how the “selfing” process operates.</w:t>
      </w:r>
    </w:p>
    <w:p w14:paraId="78ECE0EB" w14:textId="77777777" w:rsidR="00E65A11" w:rsidRPr="002F267D" w:rsidRDefault="00E65A11" w:rsidP="00E65A11">
      <w:pPr>
        <w:spacing w:before="100" w:beforeAutospacing="1" w:after="100" w:afterAutospacing="1" w:line="240" w:lineRule="auto"/>
        <w:ind w:firstLine="360"/>
        <w:rPr>
          <w:rFonts w:eastAsia="Times New Roman" w:cs="Times New Roman"/>
        </w:rPr>
      </w:pPr>
      <w:r w:rsidRPr="00B671CD">
        <w:rPr>
          <w:rFonts w:eastAsia="Times New Roman" w:cs="Times New Roman"/>
        </w:rPr>
        <w:t>The basic formula</w:t>
      </w:r>
      <w:r>
        <w:rPr>
          <w:rFonts w:eastAsia="Times New Roman" w:cs="Times New Roman"/>
        </w:rPr>
        <w:t xml:space="preserve"> for cultivating the Awakening Factors is described in the Satipatthana Sutta and is the primary focus for practice in the Four Foundations of Mindfulness, basically through the development of Mindfulness of Breathing Meditation.  As sati (sah-tee), that is, mindfulness, is developed through breath awareness, this quality of attention is brought to all the foundations of mindfulness and</w:t>
      </w:r>
      <w:r w:rsidRPr="00B671CD">
        <w:rPr>
          <w:rFonts w:eastAsia="Times New Roman" w:cs="Times New Roman"/>
        </w:rPr>
        <w:t xml:space="preserve"> </w:t>
      </w:r>
      <w:r>
        <w:rPr>
          <w:rFonts w:eastAsia="Times New Roman" w:cs="Times New Roman"/>
        </w:rPr>
        <w:t>involves the ability</w:t>
      </w:r>
      <w:r w:rsidRPr="00B671CD">
        <w:rPr>
          <w:rFonts w:eastAsia="Times New Roman" w:cs="Times New Roman"/>
        </w:rPr>
        <w:t xml:space="preserve"> to: 1) Note the present</w:t>
      </w:r>
      <w:r>
        <w:rPr>
          <w:rFonts w:eastAsia="Times New Roman" w:cs="Times New Roman"/>
        </w:rPr>
        <w:t>-</w:t>
      </w:r>
      <w:r w:rsidRPr="00B671CD">
        <w:rPr>
          <w:rFonts w:eastAsia="Times New Roman" w:cs="Times New Roman"/>
        </w:rPr>
        <w:t>moment awareness of mindfulness, 2) Note the present</w:t>
      </w:r>
      <w:r>
        <w:rPr>
          <w:rFonts w:eastAsia="Times New Roman" w:cs="Times New Roman"/>
        </w:rPr>
        <w:t>-moment</w:t>
      </w:r>
      <w:r w:rsidRPr="00B671CD">
        <w:rPr>
          <w:rFonts w:eastAsia="Times New Roman" w:cs="Times New Roman"/>
        </w:rPr>
        <w:t xml:space="preserve"> absence of mindfulness, 3) Note </w:t>
      </w:r>
      <w:r>
        <w:rPr>
          <w:rFonts w:eastAsia="Times New Roman" w:cs="Times New Roman"/>
        </w:rPr>
        <w:t xml:space="preserve">the present-moment </w:t>
      </w:r>
      <w:r w:rsidRPr="00B671CD">
        <w:rPr>
          <w:rFonts w:eastAsia="Times New Roman" w:cs="Times New Roman"/>
        </w:rPr>
        <w:t>emerge</w:t>
      </w:r>
      <w:r>
        <w:rPr>
          <w:rFonts w:eastAsia="Times New Roman" w:cs="Times New Roman"/>
        </w:rPr>
        <w:t>nce</w:t>
      </w:r>
      <w:r w:rsidRPr="00B671CD">
        <w:rPr>
          <w:rFonts w:eastAsia="Times New Roman" w:cs="Times New Roman"/>
        </w:rPr>
        <w:t xml:space="preserve"> </w:t>
      </w:r>
      <w:r>
        <w:rPr>
          <w:rFonts w:eastAsia="Times New Roman" w:cs="Times New Roman"/>
        </w:rPr>
        <w:t xml:space="preserve">of </w:t>
      </w:r>
      <w:r w:rsidRPr="00B671CD">
        <w:rPr>
          <w:rFonts w:eastAsia="Times New Roman" w:cs="Times New Roman"/>
        </w:rPr>
        <w:t xml:space="preserve">mindfulness into awareness, 4) Note </w:t>
      </w:r>
      <w:r>
        <w:rPr>
          <w:rFonts w:eastAsia="Times New Roman" w:cs="Times New Roman"/>
        </w:rPr>
        <w:t>a sustained full experience</w:t>
      </w:r>
      <w:r w:rsidRPr="00B671CD">
        <w:rPr>
          <w:rFonts w:eastAsia="Times New Roman" w:cs="Times New Roman"/>
        </w:rPr>
        <w:t xml:space="preserve"> of mindfulness in the present moment of experiential flow.  The same formal analysis is brought to the remaining factors: investigation of mental phenomena, energy/effort, joy, tranquility, concentration and equanimity.</w:t>
      </w:r>
      <w:r>
        <w:rPr>
          <w:rFonts w:eastAsia="Times New Roman" w:cs="Times New Roman"/>
        </w:rPr>
        <w:t xml:space="preserve">  Here is how this process is described in the Fourth Foundation of Mindfulness:</w:t>
      </w:r>
    </w:p>
    <w:p w14:paraId="327D83A5" w14:textId="77777777" w:rsidR="00E65A11" w:rsidRPr="007F269A" w:rsidRDefault="00E65A11" w:rsidP="00E65A11">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Or,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          translated by Thanissaro Bhikkhu</w:t>
      </w:r>
    </w:p>
    <w:p w14:paraId="1430168E" w14:textId="77777777" w:rsidR="00E65A11" w:rsidRPr="00E22197" w:rsidRDefault="00E65A11" w:rsidP="00E65A11">
      <w:pPr>
        <w:spacing w:before="100" w:beforeAutospacing="1" w:after="100" w:afterAutospacing="1" w:line="240" w:lineRule="auto"/>
        <w:ind w:firstLine="360"/>
        <w:outlineLvl w:val="3"/>
        <w:rPr>
          <w:rFonts w:eastAsia="Times New Roman" w:cstheme="minorHAnsi"/>
        </w:rPr>
      </w:pPr>
      <w:r>
        <w:rPr>
          <w:rFonts w:eastAsia="Times New Roman" w:cstheme="minorHAnsi"/>
        </w:rPr>
        <w:t>This is how the process is described in the Anapanasati Sutta:</w:t>
      </w:r>
    </w:p>
    <w:p w14:paraId="13DDEF40" w14:textId="77777777" w:rsidR="00E65A11" w:rsidRPr="007F269A" w:rsidRDefault="00E65A11" w:rsidP="00E65A11">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14:paraId="44301D6D"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"And how are the four frames of reference developed &amp; pursued so as to bring the seven factors for awakening to their culmination?</w:t>
      </w:r>
    </w:p>
    <w:p w14:paraId="04E5BAC3"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14:paraId="7C3A8E59"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14:paraId="6D73DF6B"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w:t>
      </w:r>
      <w:r w:rsidRPr="007F269A">
        <w:rPr>
          <w:rFonts w:eastAsia="Times New Roman" w:cstheme="minorHAnsi"/>
          <w:sz w:val="20"/>
          <w:szCs w:val="20"/>
        </w:rPr>
        <w:lastRenderedPageBreak/>
        <w:t xml:space="preserve">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14:paraId="114F0C14"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is aroused,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14:paraId="208F06A7"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calm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14:paraId="29FEEEAA"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14:paraId="3416B9DD" w14:textId="77777777" w:rsidR="00E65A11" w:rsidRPr="007F269A"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14:paraId="66E51F69" w14:textId="77777777" w:rsidR="00E65A11" w:rsidRPr="00367674" w:rsidRDefault="00E65A11" w:rsidP="00E65A11">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(Similarly with the other three frames of reference: feelings, mind, &amp; mental qualities.)</w:t>
      </w:r>
      <w:r>
        <w:rPr>
          <w:rFonts w:eastAsia="Times New Roman" w:cstheme="minorHAnsi"/>
          <w:i/>
          <w:iCs/>
          <w:sz w:val="20"/>
          <w:szCs w:val="20"/>
        </w:rPr>
        <w:t xml:space="preserve">  Anapanasati Sutta, Thanissaro</w:t>
      </w:r>
    </w:p>
    <w:p w14:paraId="7EF2EDF6" w14:textId="77777777" w:rsidR="00E65A11" w:rsidRDefault="00E65A11" w:rsidP="00E65A11">
      <w:pPr>
        <w:spacing w:before="100" w:beforeAutospacing="1" w:after="100" w:afterAutospacing="1" w:line="240" w:lineRule="auto"/>
        <w:ind w:firstLine="360"/>
        <w:rPr>
          <w:rFonts w:eastAsia="Times New Roman" w:cs="Times New Roman"/>
          <w:szCs w:val="24"/>
        </w:rPr>
      </w:pPr>
      <w:r>
        <w:rPr>
          <w:rFonts w:eastAsia="Times New Roman" w:cs="Times New Roman"/>
          <w:szCs w:val="24"/>
        </w:rPr>
        <w:t>My intention here is to focus on each of these factors in ways that might increase understanding of the functions of each and how they interact to cultivate clear awareness (samma ditthi) and benevolent intention (samma sankappa), that is, the Wisdom aspect of the Eightfold Path.  The factors of mindfulness, investigation of mental phenomena, energy/effort and concentration are some of the component elements of vipassana, insight into the characteristics of impermanence, non-self, and the inevitable suffering that arises as the result of craving and clinging.</w:t>
      </w:r>
    </w:p>
    <w:p w14:paraId="489FE902" w14:textId="77777777" w:rsidR="00E65A11" w:rsidRDefault="00E65A11" w:rsidP="00E65A11">
      <w:pPr>
        <w:spacing w:before="100" w:beforeAutospacing="1" w:after="100" w:afterAutospacing="1" w:line="240" w:lineRule="auto"/>
        <w:ind w:firstLine="360"/>
        <w:rPr>
          <w:rFonts w:eastAsia="Times New Roman" w:cs="Times New Roman"/>
          <w:szCs w:val="24"/>
        </w:rPr>
      </w:pPr>
      <w:r>
        <w:rPr>
          <w:rFonts w:eastAsia="Times New Roman" w:cs="Times New Roman"/>
          <w:szCs w:val="24"/>
        </w:rPr>
        <w:t>The seven factors can be subdivided into three categories to clarify their functions:  Mindfulness, Investigation of Mental Phenomena and Effort/Energy bring attention to what is in awareness in an ongoing way.  Joy and Tranquility represent different levels of energy, with joy representing engaged interest and tranquility representing a smooth flow of attention.  Concentration and Equanimity represent the unified activity of consciousness, balanced in such a way as to support the effective interactions of the other six factors.  The following are more specific reviews of each of the factors:</w:t>
      </w:r>
    </w:p>
    <w:p w14:paraId="39BAC845" w14:textId="77777777" w:rsidR="00E65A11" w:rsidRDefault="00E65A11" w:rsidP="00E65A11">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 BOJJHANGA</w:t>
      </w:r>
    </w:p>
    <w:p w14:paraId="4DA1D10A" w14:textId="77777777" w:rsidR="00E65A11" w:rsidRDefault="00E65A11" w:rsidP="00E65A11">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concepts of Buddhist practice.  The Pali word </w:t>
      </w:r>
      <w:r>
        <w:rPr>
          <w:rFonts w:eastAsia="Times New Roman" w:cs="Times New Roman"/>
          <w:i/>
          <w:szCs w:val="24"/>
        </w:rPr>
        <w:t xml:space="preserve">sati </w:t>
      </w:r>
      <w:r>
        <w:rPr>
          <w:rFonts w:eastAsia="Times New Roman" w:cs="Times New Roman"/>
          <w:szCs w:val="24"/>
        </w:rPr>
        <w:t>(sah-tee), smrti (</w:t>
      </w:r>
      <w:proofErr w:type="spellStart"/>
      <w:r>
        <w:rPr>
          <w:rFonts w:eastAsia="Times New Roman" w:cs="Times New Roman"/>
          <w:szCs w:val="24"/>
        </w:rPr>
        <w:t>sm</w:t>
      </w:r>
      <w:proofErr w:type="spellEnd"/>
      <w:r>
        <w:rPr>
          <w:rFonts w:eastAsia="Times New Roman" w:cs="Times New Roman"/>
          <w:szCs w:val="24"/>
        </w:rPr>
        <w:t xml:space="preserve">-er-tee) in Sanskrit, was traditionally understood to mean </w:t>
      </w:r>
      <w:r>
        <w:rPr>
          <w:rFonts w:eastAsia="Times New Roman" w:cs="Times New Roman"/>
          <w:i/>
          <w:szCs w:val="24"/>
        </w:rPr>
        <w:t xml:space="preserve">non-forgetfulness, </w:t>
      </w:r>
      <w:r>
        <w:rPr>
          <w:rFonts w:eastAsia="Times New Roman" w:cs="Times New Roman"/>
          <w:szCs w:val="24"/>
        </w:rPr>
        <w:t>that is, the ability to keep a thought or plan of action in mind.  It can be understood as “present-moment awareness”.  The Buddha was quite adept at modifying the intended meaning of words and concepts to his purpose.  In this case, it means “Be diligent in noting the nature of impermanence, non-self and the dissatisfaction that arises through craving and clinging”.</w:t>
      </w:r>
    </w:p>
    <w:p w14:paraId="53DD3B88" w14:textId="77777777" w:rsidR="00E65A11" w:rsidRDefault="00E65A11" w:rsidP="00E65A11">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proofErr w:type="spellStart"/>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proofErr w:type="spellEnd"/>
      <w:r>
        <w:rPr>
          <w:rFonts w:eastAsia="Times New Roman" w:cs="Times New Roman"/>
          <w:szCs w:val="24"/>
        </w:rPr>
        <w:t xml:space="preserve"> (ah-pah-mah-dah), translated as </w:t>
      </w:r>
      <w:r w:rsidRPr="00827D7D">
        <w:rPr>
          <w:rFonts w:eastAsia="Times New Roman" w:cs="Times New Roman"/>
          <w:i/>
          <w:szCs w:val="24"/>
        </w:rPr>
        <w:t>heedfulness</w:t>
      </w:r>
      <w:r>
        <w:rPr>
          <w:rFonts w:eastAsia="Times New Roman" w:cs="Times New Roman"/>
          <w:szCs w:val="24"/>
        </w:rPr>
        <w:t>:</w:t>
      </w:r>
    </w:p>
    <w:p w14:paraId="6941B482" w14:textId="77777777" w:rsidR="00E65A11" w:rsidRDefault="00E65A11" w:rsidP="00E65A11">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Pr="007F269A">
        <w:rPr>
          <w:sz w:val="20"/>
          <w:szCs w:val="20"/>
        </w:rPr>
        <w:t>AN 10.15</w:t>
      </w:r>
      <w:r w:rsidRPr="007F269A">
        <w:t xml:space="preserve">, </w:t>
      </w:r>
      <w:r w:rsidRPr="007F269A">
        <w:rPr>
          <w:sz w:val="20"/>
        </w:rPr>
        <w:t>translated by Thanissaro</w:t>
      </w:r>
    </w:p>
    <w:p w14:paraId="18B6D2D8" w14:textId="77777777" w:rsidR="00E65A11" w:rsidRDefault="00E65A11" w:rsidP="00E65A11">
      <w:pPr>
        <w:spacing w:before="100" w:beforeAutospacing="1" w:after="0" w:line="240" w:lineRule="auto"/>
        <w:ind w:firstLine="360"/>
        <w:rPr>
          <w:rFonts w:eastAsia="Times New Roman" w:cs="Times New Roman"/>
          <w:szCs w:val="24"/>
        </w:rPr>
      </w:pPr>
      <w:r>
        <w:rPr>
          <w:rFonts w:eastAsia="Times New Roman" w:cs="Times New Roman"/>
          <w:szCs w:val="24"/>
        </w:rPr>
        <w:t xml:space="preserve">A modern psychological concept that can be understood as synonymous with sati is </w:t>
      </w:r>
      <w:r w:rsidRPr="000565C5">
        <w:rPr>
          <w:rFonts w:eastAsia="Times New Roman" w:cs="Times New Roman"/>
          <w:i/>
          <w:szCs w:val="24"/>
        </w:rPr>
        <w:t>metacognition</w:t>
      </w:r>
      <w:r>
        <w:rPr>
          <w:rFonts w:eastAsia="Times New Roman" w:cs="Times New Roman"/>
          <w:i/>
          <w:szCs w:val="24"/>
        </w:rPr>
        <w:t xml:space="preserve">.  </w:t>
      </w:r>
      <w:r>
        <w:rPr>
          <w:rFonts w:eastAsia="Times New Roman" w:cs="Times New Roman"/>
          <w:szCs w:val="24"/>
        </w:rPr>
        <w:t>Wikipedia offers these definitions of metacognition:</w:t>
      </w:r>
    </w:p>
    <w:p w14:paraId="38C3665C" w14:textId="77777777" w:rsidR="00E65A11" w:rsidRPr="00C272DB" w:rsidRDefault="00E65A11" w:rsidP="00E65A11">
      <w:pPr>
        <w:pStyle w:val="NormalWeb"/>
        <w:ind w:left="720" w:right="720"/>
        <w:rPr>
          <w:rFonts w:asciiTheme="minorHAnsi" w:hAnsiTheme="minorHAnsi"/>
          <w:sz w:val="20"/>
          <w:szCs w:val="20"/>
        </w:rPr>
      </w:pPr>
      <w:r w:rsidRPr="00C272DB">
        <w:rPr>
          <w:rFonts w:asciiTheme="minorHAnsi" w:hAnsiTheme="minorHAnsi"/>
          <w:b/>
          <w:bCs/>
          <w:sz w:val="20"/>
          <w:szCs w:val="20"/>
        </w:rPr>
        <w:t>Metacognition</w:t>
      </w:r>
      <w:r w:rsidRPr="00C272DB">
        <w:rPr>
          <w:rFonts w:asciiTheme="minorHAnsi" w:hAnsiTheme="minorHAnsi"/>
          <w:sz w:val="20"/>
          <w:szCs w:val="20"/>
        </w:rPr>
        <w:t xml:space="preserve"> is defined as "</w:t>
      </w:r>
      <w:hyperlink r:id="rId5"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w:t>
      </w:r>
      <w:r w:rsidRPr="00C272DB">
        <w:rPr>
          <w:rFonts w:asciiTheme="minorHAnsi" w:hAnsiTheme="minorHAnsi"/>
          <w:sz w:val="20"/>
          <w:szCs w:val="20"/>
        </w:rPr>
        <w:lastRenderedPageBreak/>
        <w:t>particular strategies for learning or for problem solving. There are generally two components of metacognition: knowledge about cognition, and regulation of cognition</w:t>
      </w:r>
      <w:r>
        <w:rPr>
          <w:rFonts w:asciiTheme="minorHAnsi" w:hAnsiTheme="minorHAnsi"/>
          <w:sz w:val="20"/>
          <w:szCs w:val="20"/>
        </w:rPr>
        <w:t>….</w:t>
      </w:r>
      <w:r w:rsidRPr="00C272DB">
        <w:rPr>
          <w:rFonts w:asciiTheme="minorHAnsi" w:hAnsiTheme="minorHAnsi"/>
          <w:sz w:val="20"/>
          <w:szCs w:val="20"/>
        </w:rPr>
        <w:t xml:space="preserve"> </w:t>
      </w:r>
    </w:p>
    <w:p w14:paraId="3B3AB29C" w14:textId="77777777" w:rsidR="00E65A11" w:rsidRPr="00C272DB" w:rsidRDefault="00E65A11" w:rsidP="00E65A11">
      <w:pPr>
        <w:pStyle w:val="NormalWeb"/>
        <w:ind w:left="720" w:right="720"/>
        <w:rPr>
          <w:rFonts w:asciiTheme="minorHAnsi" w:hAnsiTheme="minorHAnsi"/>
          <w:sz w:val="20"/>
          <w:szCs w:val="20"/>
        </w:rPr>
      </w:pPr>
      <w:r>
        <w:rPr>
          <w:rFonts w:asciiTheme="minorHAnsi" w:hAnsiTheme="minorHAnsi"/>
          <w:sz w:val="20"/>
          <w:szCs w:val="20"/>
        </w:rPr>
        <w:t>…</w:t>
      </w:r>
      <w:hyperlink r:id="rId6" w:tooltip="Metamemory" w:history="1">
        <w:r w:rsidRPr="00C272DB">
          <w:rPr>
            <w:rStyle w:val="Hyperlink"/>
            <w:rFonts w:asciiTheme="minorHAnsi" w:hAnsiTheme="minorHAnsi"/>
            <w:color w:val="auto"/>
            <w:sz w:val="20"/>
            <w:szCs w:val="20"/>
            <w:u w:val="none"/>
          </w:rPr>
          <w:t>Metamemory</w:t>
        </w:r>
      </w:hyperlink>
      <w:r w:rsidRPr="00C272DB">
        <w:rPr>
          <w:rFonts w:asciiTheme="minorHAnsi" w:hAnsiTheme="minorHAnsi"/>
          <w:sz w:val="20"/>
          <w:szCs w:val="20"/>
        </w:rPr>
        <w:t xml:space="preserve">, defined as knowing about memory and </w:t>
      </w:r>
      <w:hyperlink r:id="rId7" w:tooltip="Mnemonic" w:history="1">
        <w:r w:rsidRPr="00C272DB">
          <w:rPr>
            <w:rStyle w:val="Hyperlink"/>
            <w:rFonts w:asciiTheme="minorHAnsi" w:hAnsiTheme="minorHAnsi"/>
            <w:color w:val="auto"/>
            <w:sz w:val="20"/>
            <w:szCs w:val="20"/>
            <w:u w:val="none"/>
          </w:rPr>
          <w:t>mnemonic</w:t>
        </w:r>
      </w:hyperlink>
      <w:r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Pr="00C272DB">
        <w:rPr>
          <w:rFonts w:asciiTheme="minorHAnsi" w:hAnsiTheme="minorHAnsi"/>
          <w:sz w:val="20"/>
          <w:szCs w:val="20"/>
        </w:rPr>
        <w:t>.</w:t>
      </w:r>
      <w:hyperlink r:id="rId8" w:anchor="cite_note-Dunlosky-3" w:history="1"/>
      <w:r w:rsidRPr="00C272DB">
        <w:rPr>
          <w:rFonts w:asciiTheme="minorHAnsi" w:hAnsiTheme="minorHAnsi"/>
          <w:sz w:val="20"/>
          <w:szCs w:val="20"/>
        </w:rPr>
        <w:t xml:space="preserve"> </w:t>
      </w:r>
    </w:p>
    <w:p w14:paraId="55E2E6AF" w14:textId="77777777" w:rsidR="00E65A11" w:rsidRPr="00C272DB" w:rsidRDefault="00E65A11" w:rsidP="00E65A11">
      <w:pPr>
        <w:spacing w:before="100" w:beforeAutospacing="1" w:after="0" w:line="240" w:lineRule="auto"/>
        <w:ind w:left="720" w:right="720" w:firstLine="360"/>
        <w:rPr>
          <w:sz w:val="20"/>
        </w:rPr>
      </w:pPr>
      <w:r>
        <w:rPr>
          <w:sz w:val="20"/>
        </w:rPr>
        <w:t>…</w:t>
      </w:r>
      <w:r w:rsidRPr="00C272DB">
        <w:rPr>
          <w:sz w:val="20"/>
        </w:rPr>
        <w:t xml:space="preserve">Metacognition variously refers to the study of memory-monitoring and self-regulation, meta-reasoning, </w:t>
      </w:r>
      <w:hyperlink r:id="rId9" w:tooltip="Consciousness" w:history="1">
        <w:r w:rsidRPr="00C272DB">
          <w:rPr>
            <w:rStyle w:val="Hyperlink"/>
            <w:color w:val="auto"/>
            <w:sz w:val="20"/>
            <w:u w:val="none"/>
          </w:rPr>
          <w:t>consciousness</w:t>
        </w:r>
      </w:hyperlink>
      <w:r w:rsidRPr="00C272DB">
        <w:rPr>
          <w:sz w:val="20"/>
        </w:rPr>
        <w:t>/</w:t>
      </w:r>
      <w:hyperlink r:id="rId10" w:tooltip="Awareness" w:history="1">
        <w:r w:rsidRPr="00C272DB">
          <w:rPr>
            <w:rStyle w:val="Hyperlink"/>
            <w:color w:val="auto"/>
            <w:sz w:val="20"/>
            <w:u w:val="none"/>
          </w:rPr>
          <w:t>awareness</w:t>
        </w:r>
      </w:hyperlink>
      <w:r w:rsidRPr="00C272DB">
        <w:rPr>
          <w:sz w:val="20"/>
        </w:rPr>
        <w:t xml:space="preserve"> and auto-consciousness/</w:t>
      </w:r>
      <w:hyperlink r:id="rId11" w:tooltip="Self-awareness" w:history="1">
        <w:r w:rsidRPr="00C272DB">
          <w:rPr>
            <w:rStyle w:val="Hyperlink"/>
            <w:color w:val="auto"/>
            <w:sz w:val="20"/>
            <w:u w:val="none"/>
          </w:rPr>
          <w:t>self-awareness</w:t>
        </w:r>
      </w:hyperlink>
      <w:r w:rsidRPr="00C272DB">
        <w:rPr>
          <w:sz w:val="20"/>
        </w:rPr>
        <w:t xml:space="preserve">. In practice these capacities are used to regulate one's own cognition, to maximize one's potential to think, </w:t>
      </w:r>
      <w:hyperlink r:id="rId12" w:tooltip="Learning" w:history="1">
        <w:r w:rsidRPr="00C272DB">
          <w:rPr>
            <w:rStyle w:val="Hyperlink"/>
            <w:color w:val="auto"/>
            <w:sz w:val="20"/>
            <w:u w:val="none"/>
          </w:rPr>
          <w:t>learn</w:t>
        </w:r>
      </w:hyperlink>
      <w:r w:rsidRPr="00C272DB">
        <w:rPr>
          <w:sz w:val="20"/>
        </w:rPr>
        <w:t xml:space="preserve"> and to the evaluation of proper </w:t>
      </w:r>
      <w:hyperlink r:id="rId13" w:tooltip="Ethics" w:history="1">
        <w:r w:rsidRPr="00C272DB">
          <w:rPr>
            <w:rStyle w:val="Hyperlink"/>
            <w:color w:val="auto"/>
            <w:sz w:val="20"/>
            <w:u w:val="none"/>
          </w:rPr>
          <w:t>ethical</w:t>
        </w:r>
      </w:hyperlink>
      <w:r w:rsidRPr="00C272DB">
        <w:rPr>
          <w:sz w:val="20"/>
        </w:rPr>
        <w:t>/</w:t>
      </w:r>
      <w:hyperlink r:id="rId14" w:tooltip="Morality" w:history="1">
        <w:r w:rsidRPr="00C272DB">
          <w:rPr>
            <w:rStyle w:val="Hyperlink"/>
            <w:color w:val="auto"/>
            <w:sz w:val="20"/>
            <w:u w:val="none"/>
          </w:rPr>
          <w:t>moral rules</w:t>
        </w:r>
      </w:hyperlink>
      <w:r>
        <w:rPr>
          <w:sz w:val="20"/>
        </w:rPr>
        <w:t>…</w:t>
      </w:r>
    </w:p>
    <w:p w14:paraId="7CB8A382" w14:textId="77777777" w:rsidR="00E65A11" w:rsidRPr="00C272DB" w:rsidRDefault="00E65A11" w:rsidP="00E65A11">
      <w:pPr>
        <w:spacing w:before="100" w:beforeAutospacing="1" w:after="0" w:line="240" w:lineRule="auto"/>
        <w:ind w:left="720" w:right="720" w:firstLine="360"/>
        <w:rPr>
          <w:sz w:val="20"/>
        </w:rPr>
      </w:pPr>
      <w:r>
        <w:rPr>
          <w:sz w:val="20"/>
        </w:rPr>
        <w:t>…</w:t>
      </w:r>
      <w:r w:rsidRPr="00C272DB">
        <w:rPr>
          <w:sz w:val="20"/>
        </w:rPr>
        <w:t xml:space="preserve">In the domain of </w:t>
      </w:r>
      <w:hyperlink r:id="rId15" w:tooltip="Cognitive neuroscience" w:history="1">
        <w:r w:rsidRPr="00C272DB">
          <w:rPr>
            <w:rStyle w:val="Hyperlink"/>
            <w:color w:val="auto"/>
            <w:sz w:val="20"/>
            <w:u w:val="none"/>
          </w:rPr>
          <w:t>cognitive neuroscience</w:t>
        </w:r>
      </w:hyperlink>
      <w:r w:rsidRPr="00C272DB">
        <w:rPr>
          <w:sz w:val="20"/>
        </w:rPr>
        <w:t xml:space="preserve">, metacognitive monitoring and control has been viewed as a function of the </w:t>
      </w:r>
      <w:hyperlink r:id="rId16" w:tooltip="Prefrontal cortex" w:history="1">
        <w:r w:rsidRPr="00C272DB">
          <w:rPr>
            <w:rStyle w:val="Hyperlink"/>
            <w:color w:val="auto"/>
            <w:sz w:val="20"/>
            <w:u w:val="none"/>
          </w:rPr>
          <w:t>prefrontal cortex</w:t>
        </w:r>
      </w:hyperlink>
      <w:r w:rsidRPr="00C272DB">
        <w:rPr>
          <w:sz w:val="20"/>
        </w:rPr>
        <w:t>, which receives (monitors) sensory signals from other cortical regions and through feedback loops implements control</w:t>
      </w:r>
      <w:r>
        <w:rPr>
          <w:sz w:val="20"/>
        </w:rPr>
        <w:t>…</w:t>
      </w:r>
    </w:p>
    <w:p w14:paraId="5265AD8F" w14:textId="77777777" w:rsidR="00E65A11" w:rsidRPr="00C272DB" w:rsidRDefault="00E65A11" w:rsidP="00E65A11">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Pr="00C272DB">
        <w:rPr>
          <w:rFonts w:eastAsia="Times New Roman" w:cs="Times New Roman"/>
          <w:sz w:val="20"/>
          <w:szCs w:val="20"/>
        </w:rPr>
        <w:t>Metacognition includes at least three different types of metacognitive awareness when considering metacognitive knowledge:</w:t>
      </w:r>
      <w:r w:rsidRPr="007C71EC">
        <w:rPr>
          <w:rFonts w:eastAsia="Times New Roman" w:cs="Times New Roman"/>
          <w:sz w:val="20"/>
          <w:szCs w:val="20"/>
        </w:rPr>
        <w:t xml:space="preserve"> </w:t>
      </w:r>
    </w:p>
    <w:p w14:paraId="21C02031" w14:textId="77777777" w:rsidR="00E65A11" w:rsidRPr="00C272DB" w:rsidRDefault="00E65A11" w:rsidP="00E65A11">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refers to knowledge about oneself as a learner and about what factors can influence one's performance. Declarative knowledge can also be referred to as "world knowledge".</w:t>
      </w:r>
    </w:p>
    <w:p w14:paraId="629FB816" w14:textId="77777777" w:rsidR="00E65A11" w:rsidRPr="00C272DB" w:rsidRDefault="00E65A11" w:rsidP="00E65A11">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Procedural Knowledge</w:t>
      </w:r>
      <w:r w:rsidRPr="00C272DB">
        <w:rPr>
          <w:rFonts w:eastAsia="Times New Roman" w:cs="Times New Roman"/>
          <w:sz w:val="20"/>
          <w:szCs w:val="20"/>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14:paraId="24661E5A" w14:textId="77777777" w:rsidR="00E65A11" w:rsidRPr="00C272DB" w:rsidRDefault="00E65A11" w:rsidP="00E65A11">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Pr>
          <w:rFonts w:eastAsia="Times New Roman" w:cs="Times New Roman"/>
          <w:sz w:val="20"/>
          <w:szCs w:val="20"/>
        </w:rPr>
        <w:t>…</w:t>
      </w:r>
      <w:r w:rsidRPr="00C272DB">
        <w:rPr>
          <w:rFonts w:eastAsia="Times New Roman" w:cs="Times New Roman"/>
          <w:sz w:val="20"/>
          <w:szCs w:val="20"/>
        </w:rPr>
        <w:t xml:space="preserve"> </w:t>
      </w:r>
    </w:p>
    <w:p w14:paraId="7CA72DEC" w14:textId="77777777" w:rsidR="00E65A11" w:rsidRPr="00C272DB" w:rsidRDefault="00E65A11" w:rsidP="00E65A11">
      <w:pPr>
        <w:spacing w:before="100" w:beforeAutospacing="1" w:after="100" w:afterAutospacing="1" w:line="240" w:lineRule="auto"/>
        <w:ind w:left="720" w:right="720"/>
        <w:rPr>
          <w:rFonts w:eastAsia="Times New Roman" w:cs="Times New Roman"/>
          <w:sz w:val="20"/>
          <w:szCs w:val="20"/>
        </w:rPr>
      </w:pPr>
      <w:r w:rsidRPr="00C272DB">
        <w:rPr>
          <w:rFonts w:eastAsia="Times New Roman" w:cs="Times New Roman"/>
          <w:sz w:val="20"/>
          <w:szCs w:val="20"/>
        </w:rPr>
        <w:t xml:space="preserve">Similar to metacognitive knowledge, metacognitive regulation or "regulation of cognition" contains three skills that are essential. </w:t>
      </w:r>
    </w:p>
    <w:p w14:paraId="34999EA9" w14:textId="77777777" w:rsidR="00E65A11" w:rsidRPr="00C272DB" w:rsidRDefault="00E65A11" w:rsidP="00E65A11">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14:paraId="046890D7" w14:textId="77777777" w:rsidR="00E65A11" w:rsidRPr="00C272DB" w:rsidRDefault="00E65A11" w:rsidP="00E65A11">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14:paraId="3A893A9C" w14:textId="77777777" w:rsidR="00E65A11" w:rsidRPr="00C272DB" w:rsidRDefault="00E65A11" w:rsidP="00E65A11">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refers to appraising the final product of a task and the efficiency at which the task was performed. This can include re-evaluating strategies that were used</w:t>
      </w:r>
      <w:r>
        <w:rPr>
          <w:rFonts w:eastAsia="Times New Roman" w:cs="Times New Roman"/>
          <w:sz w:val="20"/>
          <w:szCs w:val="20"/>
        </w:rPr>
        <w:t>…</w:t>
      </w:r>
    </w:p>
    <w:p w14:paraId="3D9A367C" w14:textId="77777777" w:rsidR="00E65A11" w:rsidRDefault="00E65A11" w:rsidP="00E65A11">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7" w:tooltip="Executive functions" w:history="1">
        <w:r w:rsidRPr="00C272DB">
          <w:rPr>
            <w:rFonts w:eastAsia="Times New Roman" w:cs="Times New Roman"/>
            <w:sz w:val="20"/>
            <w:szCs w:val="20"/>
          </w:rPr>
          <w:t>executive functions</w:t>
        </w:r>
      </w:hyperlink>
      <w:r>
        <w:rPr>
          <w:rFonts w:eastAsia="Times New Roman" w:cs="Times New Roman"/>
          <w:sz w:val="20"/>
          <w:szCs w:val="20"/>
        </w:rPr>
        <w:t xml:space="preserve">…       </w:t>
      </w:r>
      <w:hyperlink r:id="rId18"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14:paraId="6028F548" w14:textId="77777777" w:rsidR="00E65A11" w:rsidRDefault="00E65A11" w:rsidP="00E65A11">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Much of what informs our selfing process comes from what is termed “autobiographical memory” or “implicit memory”.  These functions operate outside of consciousness, and, in that way, their effect biases the process of recognition and action regarding various situations that arise in daily life.  In other talks I have referred to “confirmation bias”, which is the tendency to disregard or devalue perceptions that counter already conditioned beliefs that are implicitly understood; the plague of systemic racism in our culture is an example of an implicit confirmation bias.</w:t>
      </w:r>
    </w:p>
    <w:p w14:paraId="1E56BAE0" w14:textId="77777777" w:rsidR="00E65A11" w:rsidRDefault="00E65A11" w:rsidP="00E65A11">
      <w:pPr>
        <w:spacing w:before="100" w:beforeAutospacing="1" w:after="100" w:afterAutospacing="1" w:line="240" w:lineRule="auto"/>
        <w:ind w:right="720" w:firstLine="360"/>
        <w:rPr>
          <w:rFonts w:eastAsia="Times New Roman" w:cs="Times New Roman"/>
        </w:rPr>
      </w:pPr>
      <w:r>
        <w:rPr>
          <w:rFonts w:eastAsia="Times New Roman" w:cs="Times New Roman"/>
          <w:szCs w:val="20"/>
        </w:rPr>
        <w:t xml:space="preserve">Mindfulness, integrated with dhamma vicaya, supports the operational investigation of mental phenomena, the second of the seven awakening factors, and the manifestation of these cooperating functions makes that which is operating implicitly to emerge into conscious awareness through metacognition.  </w:t>
      </w:r>
      <w:r>
        <w:rPr>
          <w:rFonts w:eastAsia="Times New Roman" w:cs="Times New Roman"/>
        </w:rPr>
        <w:t xml:space="preserve">This is described in the Satipatthana Sutta, in the </w:t>
      </w:r>
      <w:r w:rsidRPr="00F603FD">
        <w:rPr>
          <w:rFonts w:eastAsia="Times New Roman" w:cs="Times New Roman"/>
          <w:i/>
        </w:rPr>
        <w:t>mindfulness of the bod</w:t>
      </w:r>
      <w:r>
        <w:rPr>
          <w:rFonts w:eastAsia="Times New Roman" w:cs="Times New Roman"/>
        </w:rPr>
        <w:t>y section of the First Foundation:</w:t>
      </w:r>
    </w:p>
    <w:p w14:paraId="004BF68D" w14:textId="77777777" w:rsidR="00E65A11" w:rsidRPr="007F269A" w:rsidRDefault="00E65A11" w:rsidP="00E65A11">
      <w:pPr>
        <w:numPr>
          <w:ilvl w:val="0"/>
          <w:numId w:val="6"/>
        </w:numPr>
        <w:spacing w:after="0" w:line="240" w:lineRule="auto"/>
        <w:ind w:left="1440" w:right="1440" w:firstLine="0"/>
        <w:rPr>
          <w:szCs w:val="24"/>
        </w:rPr>
      </w:pPr>
      <w:r w:rsidRPr="007F269A">
        <w:rPr>
          <w:szCs w:val="24"/>
        </w:rPr>
        <w:t>The Four Postures</w:t>
      </w:r>
    </w:p>
    <w:p w14:paraId="7D3E2429" w14:textId="77777777" w:rsidR="00E65A11" w:rsidRPr="007F269A" w:rsidRDefault="00E65A11" w:rsidP="00E65A11">
      <w:pPr>
        <w:spacing w:after="0" w:line="240" w:lineRule="auto"/>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53FE27CA" w14:textId="77777777" w:rsidR="00E65A11" w:rsidRPr="007F269A" w:rsidRDefault="00E65A11" w:rsidP="00E65A11">
      <w:pPr>
        <w:spacing w:after="0" w:line="240" w:lineRule="auto"/>
        <w:ind w:left="1440" w:right="1440"/>
        <w:rPr>
          <w:sz w:val="20"/>
        </w:rPr>
      </w:pPr>
    </w:p>
    <w:p w14:paraId="58495203" w14:textId="77777777" w:rsidR="00E65A11" w:rsidRPr="007F269A" w:rsidRDefault="00E65A11" w:rsidP="00E65A11">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0FDC30EF" w14:textId="77777777" w:rsidR="00E65A11" w:rsidRPr="007F269A" w:rsidRDefault="00E65A11" w:rsidP="00E65A11">
      <w:pPr>
        <w:spacing w:after="0" w:line="240" w:lineRule="auto"/>
        <w:ind w:left="1440" w:right="1440"/>
        <w:rPr>
          <w:sz w:val="20"/>
        </w:rPr>
      </w:pPr>
    </w:p>
    <w:p w14:paraId="0D4DED43" w14:textId="77777777" w:rsidR="00E65A11" w:rsidRPr="007F269A" w:rsidRDefault="00E65A11" w:rsidP="00E65A11">
      <w:pPr>
        <w:numPr>
          <w:ilvl w:val="0"/>
          <w:numId w:val="6"/>
        </w:numPr>
        <w:spacing w:after="0" w:line="240" w:lineRule="auto"/>
        <w:ind w:left="1440" w:right="1440" w:firstLine="0"/>
        <w:rPr>
          <w:sz w:val="20"/>
        </w:rPr>
      </w:pPr>
      <w:r w:rsidRPr="007F269A">
        <w:rPr>
          <w:szCs w:val="24"/>
        </w:rPr>
        <w:t>Full Awareness</w:t>
      </w:r>
    </w:p>
    <w:p w14:paraId="0193CBCE" w14:textId="77777777" w:rsidR="00E65A11" w:rsidRPr="007F269A" w:rsidRDefault="00E65A11" w:rsidP="00E65A11">
      <w:pPr>
        <w:spacing w:after="0" w:line="240" w:lineRule="auto"/>
        <w:ind w:left="1440" w:right="1440"/>
        <w:rPr>
          <w:sz w:val="20"/>
        </w:rPr>
      </w:pPr>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1DFE549C" w14:textId="77777777" w:rsidR="00E65A11" w:rsidRPr="007F269A" w:rsidRDefault="00E65A11" w:rsidP="00E65A11">
      <w:pPr>
        <w:spacing w:after="0" w:line="240" w:lineRule="auto"/>
        <w:ind w:left="1440" w:right="1440"/>
        <w:rPr>
          <w:sz w:val="20"/>
        </w:rPr>
      </w:pPr>
    </w:p>
    <w:p w14:paraId="4100B60C" w14:textId="77777777" w:rsidR="00E65A11" w:rsidRPr="00F603FD" w:rsidRDefault="00E65A11" w:rsidP="00E65A11">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5354B360" w14:textId="77777777" w:rsidR="00E65A11" w:rsidRDefault="00E65A11" w:rsidP="00E65A11">
      <w:pPr>
        <w:spacing w:before="100" w:beforeAutospacing="1" w:after="100" w:afterAutospacing="1" w:line="240" w:lineRule="auto"/>
        <w:rPr>
          <w:rFonts w:eastAsia="Times New Roman" w:cs="Times New Roman"/>
        </w:rPr>
      </w:pPr>
    </w:p>
    <w:p w14:paraId="73725744"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I find it quite interesting that there is no mention of sati in the article as ancient historical sources are quoted.  There is reference to Greek philosophical writing as an ancient reference to metacognition, however.  </w:t>
      </w:r>
    </w:p>
    <w:p w14:paraId="048AD367"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The function of mindfulness in the awakening factors is as a monitor for the coordination of the other 6 factors.  In the Pali Canon, a metaphor used is that of a chief minister of a king, whose task it is to monitor the functions of other departments of the kingdom to maximize their effectiveness.</w:t>
      </w:r>
    </w:p>
    <w:p w14:paraId="5CDCC818" w14:textId="77777777" w:rsidR="00E65A11" w:rsidRDefault="00E65A11" w:rsidP="00E65A11">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14:paraId="1CF52AF8" w14:textId="77777777" w:rsidR="00E65A11" w:rsidRDefault="00E65A11" w:rsidP="00E65A11">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sidRPr="003A6B9E">
        <w:rPr>
          <w:rFonts w:eastAsia="Times New Roman" w:cs="Times New Roman"/>
          <w:iCs/>
        </w:rPr>
        <w:t>pronounced</w:t>
      </w:r>
      <w:r>
        <w:rPr>
          <w:rFonts w:eastAsia="Times New Roman" w:cs="Times New Roman"/>
          <w:i/>
        </w:rPr>
        <w:t xml:space="preserve"> sah-tee-</w:t>
      </w:r>
      <w:proofErr w:type="spellStart"/>
      <w:r>
        <w:rPr>
          <w:rFonts w:eastAsia="Times New Roman" w:cs="Times New Roman"/>
          <w:i/>
        </w:rPr>
        <w:t>sahm</w:t>
      </w:r>
      <w:proofErr w:type="spellEnd"/>
      <w:r>
        <w:rPr>
          <w:rFonts w:eastAsia="Times New Roman" w:cs="Times New Roman"/>
          <w:i/>
        </w:rPr>
        <w:t>-pah-</w:t>
      </w:r>
      <w:proofErr w:type="spellStart"/>
      <w:r>
        <w:rPr>
          <w:rFonts w:eastAsia="Times New Roman" w:cs="Times New Roman"/>
          <w:i/>
        </w:rPr>
        <w:t>jahn</w:t>
      </w:r>
      <w:proofErr w:type="spellEnd"/>
      <w:r>
        <w:rPr>
          <w:rFonts w:eastAsia="Times New Roman" w:cs="Times New Roman"/>
          <w:i/>
        </w:rPr>
        <w:t xml:space="preserve">-yah), </w:t>
      </w:r>
      <w:r>
        <w:rPr>
          <w:rFonts w:eastAsia="Times New Roman" w:cs="Times New Roman"/>
        </w:rPr>
        <w:t>contained in the first foundation, mindfulness of the body (See the above quote).</w:t>
      </w:r>
    </w:p>
    <w:p w14:paraId="047E354D" w14:textId="77777777" w:rsidR="00E65A11" w:rsidRPr="004E2FFD" w:rsidRDefault="00E65A11" w:rsidP="00E65A11">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Avoid voluntary association with people who aren’t interested in being actively utilizing mindfulness, formally or informally, which is observable in the behaviors of others, whether they are Buddhists or not.  One of the remarkable insights that develops over time with the practice of mindfulness is an increasing awareness of how often people are “on autopilot”, unaware of the consequences of their attitudes and actions.  This avoidance shouldn’t be cult-like or arrogant; it is more about thoughtfulness regarding one’s behavior.</w:t>
      </w:r>
    </w:p>
    <w:p w14:paraId="78CF9034" w14:textId="77777777" w:rsidR="00E65A11" w:rsidRPr="004E2FFD" w:rsidRDefault="00E65A11" w:rsidP="00E65A11">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 xml:space="preserve">Intentionally associate with mindful people.  Mindfulness isn’t the sole property of Buddhist practice (see the section above on “metacognition”), it’s just that Buddhism puts a strong emphasis on cultivating that quality of attention.  </w:t>
      </w:r>
      <w:r w:rsidRPr="004E2FFD">
        <w:rPr>
          <w:rFonts w:eastAsia="Times New Roman" w:cs="Times New Roman"/>
        </w:rPr>
        <w:t>Being mindful is an important aspect of what is popularly called “emotional intelligence” (Daniel Goleman, who wrote the book “Emotional Intelligence” and several of the other books of that sort, has been a practicing Buddhist for many years).</w:t>
      </w:r>
    </w:p>
    <w:p w14:paraId="4DDC14CC" w14:textId="77777777" w:rsidR="00E65A11" w:rsidRPr="00E132DC" w:rsidRDefault="00E65A11" w:rsidP="00E65A11">
      <w:pPr>
        <w:pStyle w:val="ListParagraph"/>
        <w:numPr>
          <w:ilvl w:val="0"/>
          <w:numId w:val="3"/>
        </w:numPr>
        <w:spacing w:before="100" w:beforeAutospacing="1" w:after="100" w:afterAutospacing="1" w:line="240" w:lineRule="auto"/>
        <w:rPr>
          <w:rFonts w:eastAsia="Times New Roman" w:cs="Times New Roman"/>
          <w:i/>
        </w:rPr>
      </w:pPr>
      <w:r>
        <w:rPr>
          <w:rFonts w:eastAsia="Times New Roman" w:cs="Times New Roman"/>
        </w:rPr>
        <w:t xml:space="preserve">Regular practice of mindfulness of breathing meditation.  It is very helpful to commit to occasional residential retreats, preferably lasting a week.  This may seem daunting, but the immersive experience has a transformative effect that is beneficial for living a more balanced and less stressful life.  When I go on retreats, which is fairly often, I regard it as </w:t>
      </w:r>
      <w:r>
        <w:rPr>
          <w:rFonts w:eastAsia="Times New Roman" w:cs="Times New Roman"/>
          <w:i/>
        </w:rPr>
        <w:t>a vacation for the mind!</w:t>
      </w:r>
    </w:p>
    <w:p w14:paraId="0F16C455" w14:textId="77777777" w:rsidR="00E65A11" w:rsidRPr="00D76ADD" w:rsidRDefault="00E65A11" w:rsidP="00E65A11">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 xml:space="preserve">DHAMMA VICAYA </w:t>
      </w:r>
      <w:r>
        <w:rPr>
          <w:rFonts w:eastAsia="Times New Roman" w:cs="Times New Roman"/>
          <w:b/>
          <w:i/>
          <w:sz w:val="28"/>
        </w:rPr>
        <w:t>SAM</w:t>
      </w:r>
      <w:r w:rsidRPr="00D76ADD">
        <w:rPr>
          <w:rFonts w:eastAsia="Times New Roman" w:cs="Times New Roman"/>
          <w:b/>
          <w:i/>
          <w:sz w:val="28"/>
        </w:rPr>
        <w:t>BOJJHANGA</w:t>
      </w:r>
    </w:p>
    <w:p w14:paraId="7776ABC5"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iCs/>
        </w:rPr>
        <w:t>(dah-mah, known as Dharma in Sanskrit)</w:t>
      </w:r>
      <w:r>
        <w:rPr>
          <w:rFonts w:eastAsia="Times New Roman" w:cs="Times New Roman"/>
          <w:i/>
        </w:rPr>
        <w:t xml:space="preserve"> </w:t>
      </w:r>
      <w:r>
        <w:rPr>
          <w:rFonts w:eastAsia="Times New Roman" w:cs="Times New Roman"/>
        </w:rPr>
        <w:t xml:space="preserve">has many different meanings in Buddhism.  When it is capitalized, it represents the concepts found in Buddhism; when not capitalized, it refers to any phenomenon that is involved in the formation of consciousness.   A dhamma can be a physical phenomenon (the constituent elements would be molecules, atoms, etc.) or a mental phenomenon (conditioning factors in the mind that shape a moment of self-experience).  In this case, it refers to </w:t>
      </w:r>
      <w:r w:rsidRPr="002826BC">
        <w:rPr>
          <w:rFonts w:eastAsia="Times New Roman" w:cs="Times New Roman"/>
          <w:i/>
          <w:iCs/>
        </w:rPr>
        <w:t>a momentarily existing formation of constituent elements, a cognitive phenomenon</w:t>
      </w:r>
      <w:r>
        <w:rPr>
          <w:rFonts w:eastAsia="Times New Roman" w:cs="Times New Roman"/>
          <w:i/>
          <w:iCs/>
        </w:rPr>
        <w:t xml:space="preserve">.  </w:t>
      </w:r>
      <w:r>
        <w:rPr>
          <w:rFonts w:eastAsia="Times New Roman" w:cs="Times New Roman"/>
          <w:i/>
        </w:rPr>
        <w:t xml:space="preserve">Vicaya </w:t>
      </w:r>
      <w:r>
        <w:rPr>
          <w:rFonts w:eastAsia="Times New Roman" w:cs="Times New Roman"/>
        </w:rPr>
        <w:t>is translated as “investigation” or “discernment”.   The following quote describes how dhamma vicaya functions:</w:t>
      </w:r>
    </w:p>
    <w:p w14:paraId="1EA89BEE" w14:textId="77777777" w:rsidR="00E65A11" w:rsidRDefault="00E65A11" w:rsidP="00E65A11">
      <w:pPr>
        <w:spacing w:before="100" w:beforeAutospacing="1" w:after="100" w:afterAutospacing="1" w:line="240" w:lineRule="auto"/>
        <w:ind w:left="720" w:right="720"/>
        <w:rPr>
          <w:rFonts w:eastAsia="Times New Roman" w:cs="Times New Roman"/>
        </w:rPr>
      </w:pPr>
      <w:r>
        <w:rPr>
          <w:rFonts w:eastAsia="Times New Roman" w:cs="Times New Roman"/>
        </w:rPr>
        <w:lastRenderedPageBreak/>
        <w:t xml:space="preserve"> </w:t>
      </w:r>
      <w:r w:rsidRPr="007F269A">
        <w:rPr>
          <w:rFonts w:eastAsia="Times New Roman" w:cs="Times New Roman"/>
        </w:rPr>
        <w:t>“</w:t>
      </w:r>
      <w:r w:rsidRPr="007F269A">
        <w:rPr>
          <w:sz w:val="20"/>
        </w:rPr>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    SN 46.52 translated by Thanissaro</w:t>
      </w:r>
    </w:p>
    <w:p w14:paraId="4572BA93"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It seems to me that dhamma vicaya represents the maturation of </w:t>
      </w:r>
      <w:r w:rsidRPr="002826BC">
        <w:rPr>
          <w:rFonts w:eastAsia="Times New Roman" w:cs="Times New Roman"/>
          <w:i/>
          <w:iCs/>
        </w:rPr>
        <w:t>vitakka/vicara</w:t>
      </w:r>
      <w:r>
        <w:rPr>
          <w:rFonts w:eastAsia="Times New Roman" w:cs="Times New Roman"/>
        </w:rPr>
        <w:t xml:space="preserve"> (vih-tah-</w:t>
      </w:r>
      <w:proofErr w:type="spellStart"/>
      <w:r>
        <w:rPr>
          <w:rFonts w:eastAsia="Times New Roman" w:cs="Times New Roman"/>
        </w:rPr>
        <w:t>kah</w:t>
      </w:r>
      <w:proofErr w:type="spellEnd"/>
      <w:r>
        <w:rPr>
          <w:rFonts w:eastAsia="Times New Roman" w:cs="Times New Roman"/>
        </w:rPr>
        <w:t>/vih-</w:t>
      </w:r>
      <w:proofErr w:type="spellStart"/>
      <w:r>
        <w:rPr>
          <w:rFonts w:eastAsia="Times New Roman" w:cs="Times New Roman"/>
        </w:rPr>
        <w:t>chah</w:t>
      </w:r>
      <w:proofErr w:type="spellEnd"/>
      <w:r>
        <w:rPr>
          <w:rFonts w:eastAsia="Times New Roman" w:cs="Times New Roman"/>
        </w:rPr>
        <w:t xml:space="preserve">-rah), </w:t>
      </w:r>
      <w:r w:rsidRPr="002826BC">
        <w:rPr>
          <w:rFonts w:eastAsia="Times New Roman" w:cs="Times New Roman"/>
          <w:i/>
          <w:iCs/>
        </w:rPr>
        <w:t>bringing attention to a mental object fully and sustaining that attention</w:t>
      </w:r>
      <w:r>
        <w:rPr>
          <w:rFonts w:eastAsia="Times New Roman" w:cs="Times New Roman"/>
        </w:rPr>
        <w:t>.  This discernment is informed by wisdom, that is, alert for the perception that moments of awareness are transitory constructs, with the intention to avoid clinging to a moment of awareness as if it is “I, me or mine”.</w:t>
      </w:r>
    </w:p>
    <w:p w14:paraId="5D6C6D52"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The nature of untrained awareness is superficial when it is lacking in mindfulness—the mind identifies whatever emerges into consciousness as “myself”, creating a duality—an observer and that which is observed—a process that must be seen as a fabrication.  As a result of craving and clinging, the mind becomes preoccupied with the fabricated meaning that is elaborated from memory and imposed upon the ongoing “data flow” of new stimulation.  This preoccupation is a form of enchantment, partly attuned to new stimulation, but increasingly biased by the emerging “selfing story”.</w:t>
      </w:r>
    </w:p>
    <w:p w14:paraId="23AACD6A"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We frequently focus on the “why”, related to the contents of subjective experience, rather than the “how”, which investigates the process through which self-organization manifests.  The function of dhamma vicaya is to mindfully observe the emerging process as soon as possible, seeing it as a process that involves the shaping of benevolent intention—the determination to liberate the mind from craving and clinging.  In this way, dhamma vicaya is an essential component of vipassana practice.</w:t>
      </w:r>
    </w:p>
    <w:p w14:paraId="6A972130"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Mindfulness monitors investigation to prevent it’s functioning from degrading into the hindrance of skeptical doubt.  Mindful investigation also functions to prevent the awakening factor of concentration from becoming too rigid or doctrinaire when their function is integrated with the next Awakening Factor, Energy/Effort in the form of Right Effort.</w:t>
      </w:r>
    </w:p>
    <w:p w14:paraId="42E12BCB"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Referring back to the references on metacognition mentioned above, dhamma vicaya would relate to </w:t>
      </w:r>
      <w:r w:rsidRPr="00DA0966">
        <w:rPr>
          <w:rFonts w:eastAsia="Times New Roman" w:cs="Times New Roman"/>
          <w:i/>
        </w:rPr>
        <w:t>planning, monitoring and evaluating in the regulation of cognition</w:t>
      </w:r>
      <w:r>
        <w:rPr>
          <w:rFonts w:eastAsia="Times New Roman" w:cs="Times New Roman"/>
        </w:rPr>
        <w:t>.</w:t>
      </w:r>
    </w:p>
    <w:p w14:paraId="5359E02A" w14:textId="77777777" w:rsidR="00E65A11" w:rsidRDefault="00E65A11" w:rsidP="00E65A11">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14:paraId="39F987CC" w14:textId="77777777"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others that emphasize the craft of self-awareness, that is vitakka (aiming attention at an arising phenomenon), and vicara (maintaining conscious awareness of the arisen phenomenon to discern whether it is wholesome or unwholesome).  </w:t>
      </w:r>
    </w:p>
    <w:p w14:paraId="34DB5D19" w14:textId="77777777"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Cultivate an orderly life and ethical values.  The less complicated one’s lifestyle is, the easier is it to not get caught up in mentally rehearsing your day at work, to-do lists, regretting unethical behaviors, and so on.  In my experience as a practitioner and teacher of mindfulness meditation, it’s clear to me that the most frequent reason for not meditating regularly or diligently applying Buddhist principles and practices is “I don’t have time!”, “I’m too busy!”, or “I’m too tired—I just fall asleep when I try to meditate!”  These reasons are all familiar and reasonable, but as mindful investigation becomes more effective with practice, it’s easier to notice how many things that seem absolutely necessary really aren’t!  Being committed to Right Speech, Action and Livelihood creates a clear conscience, and that is a very effective stress buster.</w:t>
      </w:r>
    </w:p>
    <w:p w14:paraId="5E8F6691" w14:textId="77777777"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The practice of investigation of mental phenomena combining mindfulness, investigation, Right Effort, and concentration develops vipassana, which is insight into the three characteristics at the core of Buddhist teachings: impermanence, non-self, and the inevitability of suffering as the result of craving and clinging.</w:t>
      </w:r>
    </w:p>
    <w:p w14:paraId="3E5EA463" w14:textId="77777777"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  This is another description of the benevolent effect of metacognition.</w:t>
      </w:r>
    </w:p>
    <w:p w14:paraId="4FD55064" w14:textId="77777777"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Associate with people who are more insightful, conscientious and well-informed about spiritual practices.  The Buddha said repeatedly that the degree to which a person is ethically inclined, with self-awareness and self-discipline to actually live a more ethical life is growing towards freedom from suffering.</w:t>
      </w:r>
    </w:p>
    <w:p w14:paraId="4579F1C8" w14:textId="77777777"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lastRenderedPageBreak/>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14:paraId="723D5D3F" w14:textId="66D4CC8B" w:rsidR="00E65A11" w:rsidRDefault="00E65A11" w:rsidP="00E65A11">
      <w:pPr>
        <w:pStyle w:val="ListParagraph"/>
        <w:numPr>
          <w:ilvl w:val="0"/>
          <w:numId w:val="4"/>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don’t get bogged down in the content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doesn’t mean that the contents are meaningless.  Rather, the emphasis is on </w:t>
      </w:r>
      <w:r w:rsidRPr="00637740">
        <w:rPr>
          <w:rFonts w:eastAsia="Times New Roman" w:cs="Times New Roman"/>
          <w:i/>
        </w:rPr>
        <w:t>understanding how the mind jumps to conclusions regarding what’s happening and what’s to be done about it</w:t>
      </w:r>
      <w:r>
        <w:rPr>
          <w:rFonts w:eastAsia="Times New Roman" w:cs="Times New Roman"/>
          <w:i/>
        </w:rPr>
        <w:t xml:space="preserve"> to liberate the mind</w:t>
      </w:r>
      <w:r>
        <w:rPr>
          <w:rFonts w:eastAsia="Times New Roman" w:cs="Times New Roman"/>
        </w:rPr>
        <w:t xml:space="preserve">.  The value of cultivating two more of the Awakening Factors, concentration and tranquility, is that they create a “buffer zone” against impulsive reactivity, allowing the inborn capacity for reflective analysis to operate more </w:t>
      </w:r>
      <w:r w:rsidR="006B2000">
        <w:rPr>
          <w:rFonts w:eastAsia="Times New Roman" w:cs="Times New Roman"/>
        </w:rPr>
        <w:t>effectively that</w:t>
      </w:r>
      <w:r>
        <w:rPr>
          <w:rFonts w:eastAsia="Times New Roman" w:cs="Times New Roman"/>
        </w:rPr>
        <w:t xml:space="preserve"> buffer zone is the operation of equanimity, another of the Awakening Factors.</w:t>
      </w:r>
    </w:p>
    <w:p w14:paraId="372F20B0" w14:textId="77777777" w:rsidR="00E65A11" w:rsidRDefault="00E65A11" w:rsidP="00E65A11">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ENERGY/EFFORT</w:t>
      </w:r>
      <w:r>
        <w:rPr>
          <w:rFonts w:eastAsia="Times New Roman" w:cs="Times New Roman"/>
          <w:b/>
          <w:sz w:val="28"/>
        </w:rPr>
        <w:t>/PERSISTENCE</w:t>
      </w:r>
      <w:r w:rsidRPr="00D76ADD">
        <w:rPr>
          <w:rFonts w:eastAsia="Times New Roman" w:cs="Times New Roman"/>
          <w:b/>
          <w:sz w:val="28"/>
        </w:rPr>
        <w:t>-</w:t>
      </w:r>
      <w:r w:rsidRPr="00D76ADD">
        <w:rPr>
          <w:rFonts w:eastAsia="Times New Roman" w:cs="Times New Roman"/>
          <w:b/>
          <w:i/>
          <w:sz w:val="28"/>
        </w:rPr>
        <w:t>VIRIYA BOJJHANGA</w:t>
      </w:r>
    </w:p>
    <w:p w14:paraId="2605E1DF"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proofErr w:type="spellStart"/>
      <w:r>
        <w:rPr>
          <w:rFonts w:eastAsia="Times New Roman" w:cs="Times New Roman"/>
          <w:i/>
        </w:rPr>
        <w:t>viriya</w:t>
      </w:r>
      <w:proofErr w:type="spellEnd"/>
      <w:r>
        <w:rPr>
          <w:rFonts w:eastAsia="Times New Roman" w:cs="Times New Roman"/>
          <w:i/>
        </w:rPr>
        <w:t xml:space="preserve"> </w:t>
      </w:r>
      <w:r>
        <w:rPr>
          <w:rFonts w:eastAsia="Times New Roman" w:cs="Times New Roman"/>
          <w:iCs/>
        </w:rPr>
        <w:t>(veer-yah)</w:t>
      </w:r>
      <w:r>
        <w:rPr>
          <w:rFonts w:eastAsia="Times New Roman" w:cs="Times New Roman"/>
          <w:i/>
        </w:rPr>
        <w:t xml:space="preserve"> </w:t>
      </w:r>
      <w:r>
        <w:rPr>
          <w:rFonts w:eastAsia="Times New Roman" w:cs="Times New Roman"/>
        </w:rPr>
        <w:t xml:space="preserve">is defined as </w:t>
      </w:r>
      <w:r w:rsidRPr="0021089D">
        <w:rPr>
          <w:rFonts w:eastAsia="Times New Roman" w:cs="Times New Roman"/>
          <w:i/>
          <w:iCs/>
        </w:rPr>
        <w:t>energy</w:t>
      </w:r>
      <w:r>
        <w:rPr>
          <w:rFonts w:eastAsia="Times New Roman" w:cs="Times New Roman"/>
        </w:rPr>
        <w:t xml:space="preserve"> or </w:t>
      </w:r>
      <w:r w:rsidRPr="0021089D">
        <w:rPr>
          <w:rFonts w:eastAsia="Times New Roman" w:cs="Times New Roman"/>
          <w:i/>
          <w:iCs/>
        </w:rPr>
        <w:t>strength</w:t>
      </w:r>
      <w:r>
        <w:rPr>
          <w:rFonts w:eastAsia="Times New Roman" w:cs="Times New Roman"/>
        </w:rPr>
        <w:t xml:space="preserve"> and is often associated with </w:t>
      </w:r>
      <w:r w:rsidRPr="0021089D">
        <w:rPr>
          <w:rFonts w:eastAsia="Times New Roman" w:cs="Times New Roman"/>
          <w:i/>
          <w:iCs/>
        </w:rPr>
        <w:t>persistence</w:t>
      </w:r>
      <w:r>
        <w:rPr>
          <w:rFonts w:eastAsia="Times New Roman" w:cs="Times New Roman"/>
        </w:rPr>
        <w:t xml:space="preserve">.  Daniel Siegel, in his “Pocket Guide to Interpersonal Biology-An Integrative Handbook of the Mind” has an interesting description of the mind on page XXVI: </w:t>
      </w:r>
      <w:r>
        <w:rPr>
          <w:rFonts w:eastAsia="Times New Roman" w:cs="Times New Roman"/>
          <w:i/>
        </w:rPr>
        <w:t xml:space="preserve"> “A core aspect of the mind can be defined as an embodied and relational process that regulates the flow of energy and information”.  </w:t>
      </w:r>
      <w:r>
        <w:rPr>
          <w:rFonts w:eastAsia="Times New Roman" w:cs="Times New Roman"/>
        </w:rPr>
        <w:t xml:space="preserve">  This regulatory process can be described through the functions of one aspect of the Noble Eightfold Path, Right Effort, which functions to “channel” the flow of energy away from distress and confusion, instead nurturing qualities of attention that promote liberation from craving and clinging.</w:t>
      </w:r>
    </w:p>
    <w:p w14:paraId="4AB6EAFF"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My understanding of this factor of awakening is that </w:t>
      </w:r>
      <w:r w:rsidRPr="0021089D">
        <w:rPr>
          <w:rFonts w:eastAsia="Times New Roman" w:cs="Times New Roman"/>
          <w:i/>
          <w:iCs/>
        </w:rPr>
        <w:t>mindfulness</w:t>
      </w:r>
      <w:r>
        <w:rPr>
          <w:rFonts w:eastAsia="Times New Roman" w:cs="Times New Roman"/>
        </w:rPr>
        <w:t xml:space="preserve"> and </w:t>
      </w:r>
      <w:r w:rsidRPr="0021089D">
        <w:rPr>
          <w:rFonts w:eastAsia="Times New Roman" w:cs="Times New Roman"/>
          <w:i/>
          <w:iCs/>
        </w:rPr>
        <w:t>investigation of phenomena</w:t>
      </w:r>
      <w:r>
        <w:rPr>
          <w:rFonts w:eastAsia="Times New Roman" w:cs="Times New Roman"/>
        </w:rPr>
        <w:t xml:space="preserve"> channel the </w:t>
      </w:r>
      <w:r w:rsidRPr="0021089D">
        <w:rPr>
          <w:rFonts w:eastAsia="Times New Roman" w:cs="Times New Roman"/>
          <w:i/>
          <w:iCs/>
        </w:rPr>
        <w:t>energy</w:t>
      </w:r>
      <w:r>
        <w:rPr>
          <w:rFonts w:eastAsia="Times New Roman" w:cs="Times New Roman"/>
        </w:rPr>
        <w:t xml:space="preserve"> of attention to a particular focal point integrated and unified by the function of </w:t>
      </w:r>
      <w:r w:rsidRPr="0021089D">
        <w:rPr>
          <w:rFonts w:eastAsia="Times New Roman" w:cs="Times New Roman"/>
          <w:i/>
          <w:iCs/>
        </w:rPr>
        <w:t>concentration</w:t>
      </w:r>
      <w:r>
        <w:rPr>
          <w:rFonts w:eastAsia="Times New Roman" w:cs="Times New Roman"/>
        </w:rPr>
        <w:t xml:space="preserve">.  When this channeling is skillfully organized through wisdom (clear awareness and benevolent intention), we call the process </w:t>
      </w:r>
      <w:r>
        <w:rPr>
          <w:rFonts w:eastAsia="Times New Roman" w:cs="Times New Roman"/>
          <w:i/>
        </w:rPr>
        <w:t xml:space="preserve">vipassana, </w:t>
      </w:r>
      <w:r>
        <w:rPr>
          <w:rFonts w:eastAsia="Times New Roman" w:cs="Times New Roman"/>
        </w:rPr>
        <w:t>that is, insight.</w:t>
      </w:r>
    </w:p>
    <w:p w14:paraId="6662214F"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Here’s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as the beam of light energy organized by the spotlight, and also in the way the technician is making the “Right Effort”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to successfully monitor the procedures to accomplish her task.  What is the stage production that is being illuminated? The practice of Right Speech, Right Action, and Right Livelihood!  Of course, the theater of everyday life is improvisational, with no script.</w:t>
      </w:r>
    </w:p>
    <w:p w14:paraId="5DA4CA62"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that is activated (see the neurological bit above regarding the function of the prefrontal cortex, for example).  The cultivation of vipassana cultivates wholesome channeling, assuring that the neural networks that are being reinforced are associate with Right Speech, Action and Livelihood.</w:t>
      </w:r>
    </w:p>
    <w:p w14:paraId="15F50704" w14:textId="77777777" w:rsidR="00E65A11" w:rsidRDefault="00E65A11" w:rsidP="00E65A11">
      <w:pPr>
        <w:spacing w:before="100" w:beforeAutospacing="1" w:after="100" w:afterAutospacing="1" w:line="240" w:lineRule="auto"/>
        <w:ind w:firstLine="360"/>
        <w:rPr>
          <w:rFonts w:eastAsia="Times New Roman" w:cs="Times New Roman"/>
        </w:rPr>
      </w:pPr>
      <w:r>
        <w:rPr>
          <w:rFonts w:eastAsia="Times New Roman" w:cs="Times New Roman"/>
        </w:rPr>
        <w:t xml:space="preserve">Every time a particular neural pathway is fed, the neural connections become “stronger”, with more synaptic connections and a stronger signal that is more easily activated (that is, it becomes “habitual”).  This describes how vipassana cultivates awakening through “the four right exertions”: </w:t>
      </w:r>
    </w:p>
    <w:p w14:paraId="741AF021" w14:textId="77777777" w:rsidR="00E65A11" w:rsidRPr="007F269A" w:rsidRDefault="00E65A11" w:rsidP="00E65A11">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14:paraId="487B0D5C" w14:textId="77777777" w:rsidR="00E65A11" w:rsidRDefault="00E65A11" w:rsidP="00E65A11">
      <w:pPr>
        <w:pStyle w:val="NormalWeb"/>
        <w:ind w:left="720" w:right="1080"/>
        <w:rPr>
          <w:sz w:val="20"/>
        </w:rPr>
      </w:pPr>
      <w:r w:rsidRPr="007F269A">
        <w:rPr>
          <w:rFonts w:asciiTheme="minorHAnsi" w:hAnsiTheme="minorHAnsi"/>
          <w:sz w:val="20"/>
        </w:rPr>
        <w:t xml:space="preserve">Just as the River Ganges flows to the east, slopes to the east, inclines to the east, in the same way when a monk develops &amp; pursues the four right exertions, he flows to Unbinding, slopes to Unbinding, inclines to Unbinding.     SN 49.1 </w:t>
      </w:r>
      <w:r w:rsidRPr="007F269A">
        <w:rPr>
          <w:sz w:val="20"/>
        </w:rPr>
        <w:t>translated by Thanissaro</w:t>
      </w:r>
    </w:p>
    <w:p w14:paraId="33BC6780" w14:textId="6050358B" w:rsidR="00E65A11" w:rsidRPr="00F9440E" w:rsidRDefault="00E65A11" w:rsidP="00E65A11">
      <w:pPr>
        <w:pStyle w:val="NormalWeb"/>
        <w:ind w:firstLine="360"/>
        <w:rPr>
          <w:rFonts w:asciiTheme="minorHAnsi" w:hAnsiTheme="minorHAnsi"/>
          <w:sz w:val="22"/>
          <w:szCs w:val="22"/>
        </w:rPr>
      </w:pPr>
      <w:r>
        <w:rPr>
          <w:sz w:val="22"/>
          <w:szCs w:val="22"/>
        </w:rPr>
        <w:lastRenderedPageBreak/>
        <w:t xml:space="preserve">Buddhism also describes different levels of effort: </w:t>
      </w:r>
      <w:r w:rsidRPr="00CF5336">
        <w:rPr>
          <w:i/>
          <w:sz w:val="22"/>
          <w:szCs w:val="22"/>
        </w:rPr>
        <w:t>instigating, sustaining</w:t>
      </w:r>
      <w:r>
        <w:rPr>
          <w:sz w:val="22"/>
          <w:szCs w:val="22"/>
        </w:rPr>
        <w:t xml:space="preserve"> and </w:t>
      </w:r>
      <w:r w:rsidRPr="00CF5336">
        <w:rPr>
          <w:i/>
          <w:sz w:val="22"/>
          <w:szCs w:val="22"/>
        </w:rPr>
        <w:t>determined</w:t>
      </w:r>
      <w:r>
        <w:rPr>
          <w:sz w:val="22"/>
          <w:szCs w:val="22"/>
        </w:rPr>
        <w:t>.  The first can be associated with bringing attention to the breath, the second to sustaining attention without wavering, and the third to persistence in repeating the first and second.</w:t>
      </w:r>
      <w:r w:rsidR="00A744FB">
        <w:rPr>
          <w:sz w:val="22"/>
          <w:szCs w:val="22"/>
        </w:rPr>
        <w:t xml:space="preserve">  When the five hindrances are set aside and the seven Awakening Factors are operating in a unified way, persistence becomes more of a conditioned habit, an “effortless effort” (Thank you, Joseph Goldstein!)</w:t>
      </w:r>
    </w:p>
    <w:p w14:paraId="5DDB749C" w14:textId="77777777" w:rsidR="00E65A11" w:rsidRDefault="00E65A11" w:rsidP="00E65A11">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ENERGY/EFFORT/PERSISTENCE</w:t>
      </w:r>
    </w:p>
    <w:p w14:paraId="47158014" w14:textId="09CBDE79"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Reflect on the negative effect of a slothful lifestyle.  Laziness reinforces laziness.  Get some </w:t>
      </w:r>
      <w:r w:rsidR="00A744FB">
        <w:rPr>
          <w:rFonts w:eastAsia="Times New Roman" w:cs="Times New Roman"/>
        </w:rPr>
        <w:t xml:space="preserve">regular </w:t>
      </w:r>
      <w:r>
        <w:rPr>
          <w:rFonts w:eastAsia="Times New Roman" w:cs="Times New Roman"/>
        </w:rPr>
        <w:t>physical exercise and reasonable periods of restful sleep.  It’s well documented that many in our culture are sleep deprived, due to late night television or computer gaming, or other distractions that waste energy with no benefit other than immediately available ongoing distraction.</w:t>
      </w:r>
      <w:r w:rsidR="00A744FB">
        <w:rPr>
          <w:rFonts w:eastAsia="Times New Roman" w:cs="Times New Roman"/>
        </w:rPr>
        <w:t xml:space="preserve">  There is a prevalence of lifestyles which are organized around being a “couch potato”, which is physiologically harmful.</w:t>
      </w:r>
    </w:p>
    <w:p w14:paraId="1EDF5F53" w14:textId="4F35A8D0"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Reflect on the benefits of energy.  I recall times when I really didn’t feel like exercising, and then, after exercise, enjoying the burst of energy and buoyant mood that arises.  Deliberately recall the times when energy was up and how good it felt.  I know that when I have a regular meditation </w:t>
      </w:r>
      <w:r w:rsidR="00A744FB">
        <w:rPr>
          <w:rFonts w:eastAsia="Times New Roman" w:cs="Times New Roman"/>
        </w:rPr>
        <w:t>practice,</w:t>
      </w:r>
      <w:r>
        <w:rPr>
          <w:rFonts w:eastAsia="Times New Roman" w:cs="Times New Roman"/>
        </w:rPr>
        <w:t xml:space="preserve"> I generally am more alert and enjoy the simple pleasures of life more easily.</w:t>
      </w:r>
    </w:p>
    <w:p w14:paraId="7A58C7BE" w14:textId="05F3F9AC"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w:t>
      </w:r>
      <w:r w:rsidR="00A744FB">
        <w:rPr>
          <w:rFonts w:eastAsia="Times New Roman" w:cs="Times New Roman"/>
        </w:rPr>
        <w:t xml:space="preserve"> resilience in stressful situations along with</w:t>
      </w:r>
      <w:r>
        <w:rPr>
          <w:rFonts w:eastAsia="Times New Roman" w:cs="Times New Roman"/>
        </w:rPr>
        <w:t xml:space="preserve"> mental alertness.  It literally changes the structure of the brain, particularly the areas that process internal body and emotional awareness, as well as the areas associated with self-regulation.</w:t>
      </w:r>
    </w:p>
    <w:p w14:paraId="3AF3C700" w14:textId="7BBDEC42"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Practice being generous with others</w:t>
      </w:r>
      <w:r w:rsidR="00A744FB">
        <w:rPr>
          <w:rFonts w:eastAsia="Times New Roman" w:cs="Times New Roman"/>
        </w:rPr>
        <w:t>-</w:t>
      </w:r>
      <w:r>
        <w:rPr>
          <w:rFonts w:eastAsia="Times New Roman" w:cs="Times New Roman"/>
        </w:rPr>
        <w:t>-it’s quite interesting to note how much delight can come from providing a service or some support to others who would benefit in wholesome ways from your efforts.</w:t>
      </w:r>
    </w:p>
    <w:p w14:paraId="352611F5" w14:textId="77777777"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108BBE5F" w14:textId="4D03E61C"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Associat</w:t>
      </w:r>
      <w:r w:rsidR="00A744FB">
        <w:rPr>
          <w:rFonts w:eastAsia="Times New Roman" w:cs="Times New Roman"/>
        </w:rPr>
        <w:t>e</w:t>
      </w:r>
      <w:r>
        <w:rPr>
          <w:rFonts w:eastAsia="Times New Roman" w:cs="Times New Roman"/>
        </w:rPr>
        <w:t xml:space="preserve"> with people whose energy is “up”, but not in a hyperactive way.</w:t>
      </w:r>
    </w:p>
    <w:p w14:paraId="5C12F83C" w14:textId="77777777"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one-week meditation retreat, you will notice that, after the third day or so, there’s a surge of delightful energy--colors are more vivid, flavors richer, and life is somehow more vital.</w:t>
      </w:r>
    </w:p>
    <w:p w14:paraId="5EC9F8B3" w14:textId="299F8ED9" w:rsidR="00E65A11" w:rsidRDefault="00E65A11" w:rsidP="00E65A11">
      <w:pPr>
        <w:pStyle w:val="ListParagraph"/>
        <w:numPr>
          <w:ilvl w:val="0"/>
          <w:numId w:val="5"/>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14:paraId="6937EA07" w14:textId="52F73629" w:rsidR="00A744FB" w:rsidRPr="00A744FB" w:rsidRDefault="00A744FB" w:rsidP="00A744FB">
      <w:pPr>
        <w:spacing w:before="100" w:beforeAutospacing="1" w:after="100" w:afterAutospacing="1" w:line="240" w:lineRule="auto"/>
        <w:ind w:firstLine="360"/>
        <w:rPr>
          <w:rFonts w:eastAsia="Times New Roman" w:cs="Times New Roman"/>
        </w:rPr>
      </w:pPr>
      <w:r>
        <w:rPr>
          <w:rFonts w:eastAsia="Times New Roman" w:cs="Times New Roman"/>
        </w:rPr>
        <w:t>These first three of the seven Awakening Factors are fundamental training modalities, the products of which are the remaining four factors: Joy, Tranquility, Concentration/Unification and Equanimity/Balance.  They will be reviewed next in the series.</w:t>
      </w:r>
    </w:p>
    <w:p w14:paraId="2BF6B2F8" w14:textId="77777777" w:rsidR="00433F91" w:rsidRDefault="00433F91"/>
    <w:sectPr w:rsidR="00433F91" w:rsidSect="00E65A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551153">
    <w:abstractNumId w:val="4"/>
  </w:num>
  <w:num w:numId="2" w16cid:durableId="700478080">
    <w:abstractNumId w:val="5"/>
  </w:num>
  <w:num w:numId="3" w16cid:durableId="1718386435">
    <w:abstractNumId w:val="1"/>
  </w:num>
  <w:num w:numId="4" w16cid:durableId="1537737840">
    <w:abstractNumId w:val="2"/>
  </w:num>
  <w:num w:numId="5" w16cid:durableId="1771051164">
    <w:abstractNumId w:val="0"/>
  </w:num>
  <w:num w:numId="6" w16cid:durableId="1479571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65A11"/>
    <w:rsid w:val="00433F91"/>
    <w:rsid w:val="005123C5"/>
    <w:rsid w:val="00581F16"/>
    <w:rsid w:val="006B2000"/>
    <w:rsid w:val="00A744FB"/>
    <w:rsid w:val="00E6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7212"/>
  <w15:chartTrackingRefBased/>
  <w15:docId w15:val="{16A55374-FD38-43C1-91C1-FAB40093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5A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65A11"/>
    <w:rPr>
      <w:color w:val="0000FF"/>
      <w:u w:val="single"/>
    </w:rPr>
  </w:style>
  <w:style w:type="paragraph" w:styleId="ListParagraph">
    <w:name w:val="List Paragraph"/>
    <w:basedOn w:val="Normal"/>
    <w:uiPriority w:val="34"/>
    <w:qFormat/>
    <w:rsid w:val="00E65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tacognition" TargetMode="External"/><Relationship Id="rId13" Type="http://schemas.openxmlformats.org/officeDocument/2006/relationships/hyperlink" Target="http://en.wikipedia.org/wiki/Ethics" TargetMode="External"/><Relationship Id="rId18" Type="http://schemas.openxmlformats.org/officeDocument/2006/relationships/hyperlink" Target="http://en.wikipedia.org/wiki/Metacognition" TargetMode="External"/><Relationship Id="rId3" Type="http://schemas.openxmlformats.org/officeDocument/2006/relationships/settings" Target="settings.xml"/><Relationship Id="rId7" Type="http://schemas.openxmlformats.org/officeDocument/2006/relationships/hyperlink" Target="http://en.wikipedia.org/wiki/Mnemonic" TargetMode="External"/><Relationship Id="rId12" Type="http://schemas.openxmlformats.org/officeDocument/2006/relationships/hyperlink" Target="http://en.wikipedia.org/wiki/Learning" TargetMode="External"/><Relationship Id="rId17" Type="http://schemas.openxmlformats.org/officeDocument/2006/relationships/hyperlink" Target="http://en.wikipedia.org/wiki/Executive_functions" TargetMode="External"/><Relationship Id="rId2" Type="http://schemas.openxmlformats.org/officeDocument/2006/relationships/styles" Target="styles.xml"/><Relationship Id="rId16" Type="http://schemas.openxmlformats.org/officeDocument/2006/relationships/hyperlink" Target="http://en.wikipedia.org/wiki/Prefrontal_corte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Metamemory" TargetMode="External"/><Relationship Id="rId11" Type="http://schemas.openxmlformats.org/officeDocument/2006/relationships/hyperlink" Target="http://en.wikipedia.org/wiki/Self-awareness" TargetMode="External"/><Relationship Id="rId5" Type="http://schemas.openxmlformats.org/officeDocument/2006/relationships/hyperlink" Target="http://en.wikipedia.org/wiki/Cognition" TargetMode="External"/><Relationship Id="rId15" Type="http://schemas.openxmlformats.org/officeDocument/2006/relationships/hyperlink" Target="http://en.wikipedia.org/wiki/Cognitive_neuroscience" TargetMode="External"/><Relationship Id="rId10" Type="http://schemas.openxmlformats.org/officeDocument/2006/relationships/hyperlink" Target="http://en.wikipedia.org/wiki/Awarenes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Consciousness" TargetMode="External"/><Relationship Id="rId14" Type="http://schemas.openxmlformats.org/officeDocument/2006/relationships/hyperlink" Target="http://en.wikipedia.org/wiki/Mor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7</Pages>
  <Words>4546</Words>
  <Characters>25916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2022-10-04T19:04:00Z</dcterms:created>
  <dcterms:modified xsi:type="dcterms:W3CDTF">2022-10-06T20:20:00Z</dcterms:modified>
</cp:coreProperties>
</file>